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722D6" w14:textId="77777777" w:rsidR="00BA376B" w:rsidRPr="00DD0783" w:rsidRDefault="008E2716" w:rsidP="00C10F6C">
      <w:pPr>
        <w:spacing w:line="240" w:lineRule="auto"/>
        <w:jc w:val="both"/>
      </w:pPr>
      <w:r w:rsidRPr="008E2716">
        <w:rPr>
          <w:noProof/>
        </w:rPr>
        <w:drawing>
          <wp:inline distT="0" distB="0" distL="0" distR="0" wp14:anchorId="16DB027F" wp14:editId="6AFB844C">
            <wp:extent cx="5760720" cy="957262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7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40FFDB" w14:textId="2ED2271C" w:rsidR="00B71741" w:rsidRPr="009F303C" w:rsidRDefault="00B71741" w:rsidP="005172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Arial"/>
          <w:sz w:val="24"/>
          <w:szCs w:val="20"/>
          <w:lang w:eastAsia="en-US"/>
        </w:rPr>
      </w:pPr>
      <w:r w:rsidRPr="00DD0783">
        <w:rPr>
          <w:rFonts w:cs="Arial"/>
          <w:sz w:val="20"/>
          <w:szCs w:val="20"/>
          <w:lang w:eastAsia="en-US"/>
        </w:rPr>
        <w:t xml:space="preserve">Załącznik nr 7 do Szczegółowego opisu osi priorytetowych RPO WD 2014-2020 </w:t>
      </w:r>
      <w:r w:rsidR="00052D63">
        <w:rPr>
          <w:rFonts w:cs="Arial"/>
          <w:sz w:val="20"/>
          <w:szCs w:val="20"/>
          <w:lang w:eastAsia="en-US"/>
        </w:rPr>
        <w:t>z dn.</w:t>
      </w:r>
      <w:r w:rsidR="009D5265">
        <w:rPr>
          <w:rFonts w:cs="Arial"/>
          <w:sz w:val="20"/>
          <w:szCs w:val="20"/>
          <w:lang w:eastAsia="en-US"/>
        </w:rPr>
        <w:t xml:space="preserve"> </w:t>
      </w:r>
      <w:r w:rsidR="004E7B0C">
        <w:rPr>
          <w:rFonts w:cs="Arial"/>
          <w:sz w:val="20"/>
          <w:szCs w:val="20"/>
          <w:lang w:eastAsia="en-US"/>
        </w:rPr>
        <w:t>30 marca 2020 r.</w:t>
      </w:r>
      <w:bookmarkStart w:id="0" w:name="_GoBack"/>
      <w:bookmarkEnd w:id="0"/>
    </w:p>
    <w:p w14:paraId="1DA43B85" w14:textId="77777777" w:rsidR="00BA376B" w:rsidRPr="00DD0783" w:rsidRDefault="00BA376B" w:rsidP="00C10F6C">
      <w:pPr>
        <w:spacing w:after="0" w:line="240" w:lineRule="auto"/>
        <w:ind w:left="5103"/>
        <w:jc w:val="both"/>
      </w:pPr>
    </w:p>
    <w:p w14:paraId="408C1151" w14:textId="77777777" w:rsidR="00BA376B" w:rsidRPr="00DD0783" w:rsidRDefault="00BA376B" w:rsidP="00C10F6C">
      <w:pPr>
        <w:spacing w:line="240" w:lineRule="auto"/>
        <w:jc w:val="both"/>
      </w:pPr>
    </w:p>
    <w:p w14:paraId="58812C83" w14:textId="77777777" w:rsidR="00BA376B" w:rsidRPr="00DD0783" w:rsidRDefault="00BA376B" w:rsidP="00C10F6C">
      <w:pPr>
        <w:spacing w:line="240" w:lineRule="auto"/>
        <w:jc w:val="both"/>
      </w:pPr>
    </w:p>
    <w:p w14:paraId="6E95807E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786F58FB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62B59516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6B25493A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107726EA" w14:textId="77777777" w:rsidR="00384A7D" w:rsidRPr="00F35FEC" w:rsidRDefault="009241EE" w:rsidP="007C6813">
      <w:pPr>
        <w:tabs>
          <w:tab w:val="left" w:pos="5330"/>
        </w:tabs>
        <w:spacing w:line="240" w:lineRule="auto"/>
        <w:jc w:val="center"/>
        <w:rPr>
          <w:b/>
          <w:sz w:val="32"/>
          <w:szCs w:val="32"/>
        </w:rPr>
      </w:pPr>
      <w:bookmarkStart w:id="1" w:name="_Hlk492028227"/>
      <w:r w:rsidRPr="00F35FEC">
        <w:rPr>
          <w:b/>
          <w:sz w:val="32"/>
          <w:szCs w:val="32"/>
        </w:rPr>
        <w:t>Zasady</w:t>
      </w:r>
      <w:r w:rsidR="009D79D3" w:rsidRPr="00F35FEC">
        <w:rPr>
          <w:b/>
          <w:sz w:val="32"/>
          <w:szCs w:val="32"/>
        </w:rPr>
        <w:t xml:space="preserve"> </w:t>
      </w:r>
      <w:bookmarkStart w:id="2" w:name="_Hlk519850855"/>
      <w:r w:rsidR="009D79D3" w:rsidRPr="00F35FEC">
        <w:rPr>
          <w:b/>
          <w:sz w:val="32"/>
          <w:szCs w:val="32"/>
        </w:rPr>
        <w:t>kwalifikowalności</w:t>
      </w:r>
      <w:r w:rsidR="00BA376B" w:rsidRPr="00F35FEC">
        <w:rPr>
          <w:b/>
          <w:sz w:val="32"/>
          <w:szCs w:val="32"/>
        </w:rPr>
        <w:t xml:space="preserve"> wydatków </w:t>
      </w:r>
      <w:r w:rsidR="001864C1" w:rsidRPr="00F35FEC">
        <w:rPr>
          <w:b/>
          <w:sz w:val="32"/>
          <w:szCs w:val="32"/>
        </w:rPr>
        <w:t xml:space="preserve">finansowanych z Europejskiego Funduszu Rozwoju Regionalnego </w:t>
      </w:r>
      <w:r w:rsidR="00BA376B" w:rsidRPr="00F35FEC">
        <w:rPr>
          <w:b/>
          <w:sz w:val="32"/>
          <w:szCs w:val="32"/>
        </w:rPr>
        <w:t>w</w:t>
      </w:r>
      <w:r w:rsidR="007C6813" w:rsidRPr="00F35FEC">
        <w:rPr>
          <w:b/>
          <w:sz w:val="32"/>
          <w:szCs w:val="32"/>
        </w:rPr>
        <w:t> </w:t>
      </w:r>
      <w:r w:rsidR="00BA376B" w:rsidRPr="00F35FEC">
        <w:rPr>
          <w:b/>
          <w:sz w:val="32"/>
          <w:szCs w:val="32"/>
        </w:rPr>
        <w:t>ramach Regionalnego Programu Operacyjnego Województwa Dolnośląskiego 2014-2020</w:t>
      </w:r>
      <w:bookmarkEnd w:id="1"/>
      <w:bookmarkEnd w:id="2"/>
    </w:p>
    <w:p w14:paraId="461CA7C3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545CCBFD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070A952F" w14:textId="77777777" w:rsidR="00BA376B" w:rsidRPr="00DD0783" w:rsidRDefault="00BA376B" w:rsidP="00B71741">
      <w:pPr>
        <w:tabs>
          <w:tab w:val="left" w:pos="1575"/>
        </w:tabs>
        <w:spacing w:line="240" w:lineRule="auto"/>
        <w:jc w:val="both"/>
        <w:rPr>
          <w:b/>
          <w:color w:val="4F81BD" w:themeColor="accent1"/>
        </w:rPr>
      </w:pPr>
    </w:p>
    <w:p w14:paraId="3C09F19C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6486B6BA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1F1CDB3C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31134239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4AE04BBD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19C672FF" w14:textId="77777777" w:rsidR="0018241A" w:rsidRPr="00DD0783" w:rsidRDefault="0018241A" w:rsidP="00C10F6C">
      <w:pPr>
        <w:tabs>
          <w:tab w:val="left" w:pos="5330"/>
        </w:tabs>
        <w:spacing w:line="240" w:lineRule="auto"/>
        <w:jc w:val="both"/>
      </w:pPr>
    </w:p>
    <w:p w14:paraId="6D36523D" w14:textId="77777777" w:rsidR="0018241A" w:rsidRPr="00DD0783" w:rsidRDefault="0018241A" w:rsidP="00C10F6C">
      <w:pPr>
        <w:tabs>
          <w:tab w:val="left" w:pos="5330"/>
        </w:tabs>
        <w:spacing w:line="240" w:lineRule="auto"/>
        <w:jc w:val="both"/>
      </w:pPr>
    </w:p>
    <w:p w14:paraId="57FDD170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3F58A974" w14:textId="77777777" w:rsidR="00F02060" w:rsidRPr="00DD0783" w:rsidRDefault="00F02060" w:rsidP="00C10F6C">
      <w:pPr>
        <w:spacing w:line="240" w:lineRule="auto"/>
        <w:jc w:val="both"/>
      </w:pPr>
      <w:r w:rsidRPr="00DD0783">
        <w:br w:type="page"/>
      </w:r>
    </w:p>
    <w:p w14:paraId="476992F8" w14:textId="77777777" w:rsidR="00BA376B" w:rsidRPr="00DD0783" w:rsidRDefault="00AC4264" w:rsidP="003C3DD4">
      <w:pPr>
        <w:pStyle w:val="Akapitzlist"/>
        <w:numPr>
          <w:ilvl w:val="0"/>
          <w:numId w:val="27"/>
        </w:numPr>
        <w:tabs>
          <w:tab w:val="left" w:pos="5330"/>
        </w:tabs>
        <w:spacing w:line="240" w:lineRule="auto"/>
        <w:ind w:left="567"/>
        <w:jc w:val="center"/>
        <w:rPr>
          <w:b/>
        </w:rPr>
      </w:pPr>
      <w:r w:rsidRPr="00DD0783">
        <w:rPr>
          <w:b/>
        </w:rPr>
        <w:lastRenderedPageBreak/>
        <w:t>WYKAZ SKRÓTÓW</w:t>
      </w:r>
    </w:p>
    <w:p w14:paraId="3838070A" w14:textId="77777777" w:rsidR="0018241A" w:rsidRPr="009A5E66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9A5E66">
        <w:rPr>
          <w:rFonts w:asciiTheme="minorHAnsi" w:hAnsiTheme="minorHAnsi"/>
          <w:sz w:val="22"/>
          <w:szCs w:val="22"/>
        </w:rPr>
        <w:t xml:space="preserve">1) </w:t>
      </w:r>
      <w:r w:rsidRPr="009A5E66">
        <w:rPr>
          <w:rFonts w:asciiTheme="minorHAnsi" w:hAnsiTheme="minorHAnsi"/>
          <w:b/>
          <w:bCs/>
          <w:sz w:val="22"/>
          <w:szCs w:val="22"/>
        </w:rPr>
        <w:t xml:space="preserve">EFRR </w:t>
      </w:r>
      <w:r w:rsidRPr="009A5E66">
        <w:rPr>
          <w:rFonts w:asciiTheme="minorHAnsi" w:hAnsiTheme="minorHAnsi"/>
          <w:sz w:val="22"/>
          <w:szCs w:val="22"/>
        </w:rPr>
        <w:t>– Europejski Fundusz Rozwoju Regionalnego;</w:t>
      </w:r>
    </w:p>
    <w:p w14:paraId="5872E765" w14:textId="77777777" w:rsidR="0018241A" w:rsidRPr="00DD0783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9A5E66">
        <w:rPr>
          <w:rFonts w:asciiTheme="minorHAnsi" w:hAnsiTheme="minorHAnsi"/>
          <w:sz w:val="22"/>
          <w:szCs w:val="22"/>
        </w:rPr>
        <w:t xml:space="preserve">2) </w:t>
      </w:r>
      <w:r w:rsidRPr="009A5E66">
        <w:rPr>
          <w:rFonts w:asciiTheme="minorHAnsi" w:hAnsiTheme="minorHAnsi"/>
          <w:b/>
          <w:bCs/>
          <w:sz w:val="22"/>
          <w:szCs w:val="22"/>
        </w:rPr>
        <w:t>M</w:t>
      </w:r>
      <w:r w:rsidR="0097611D" w:rsidRPr="009A5E66">
        <w:rPr>
          <w:rFonts w:asciiTheme="minorHAnsi" w:hAnsiTheme="minorHAnsi"/>
          <w:b/>
          <w:bCs/>
          <w:sz w:val="22"/>
          <w:szCs w:val="22"/>
        </w:rPr>
        <w:t>Ii</w:t>
      </w:r>
      <w:r w:rsidRPr="009A5E66">
        <w:rPr>
          <w:rFonts w:asciiTheme="minorHAnsi" w:hAnsiTheme="minorHAnsi"/>
          <w:b/>
          <w:bCs/>
          <w:sz w:val="22"/>
          <w:szCs w:val="22"/>
        </w:rPr>
        <w:t xml:space="preserve">R </w:t>
      </w:r>
      <w:r w:rsidRPr="009A5E66">
        <w:rPr>
          <w:rFonts w:asciiTheme="minorHAnsi" w:hAnsiTheme="minorHAnsi"/>
          <w:sz w:val="22"/>
          <w:szCs w:val="22"/>
        </w:rPr>
        <w:t xml:space="preserve">– Ministerstwo </w:t>
      </w:r>
      <w:r w:rsidR="00335251" w:rsidRPr="009A5E66">
        <w:rPr>
          <w:rFonts w:asciiTheme="minorHAnsi" w:hAnsiTheme="minorHAnsi"/>
          <w:sz w:val="22"/>
          <w:szCs w:val="22"/>
        </w:rPr>
        <w:t xml:space="preserve">Inwestycji i </w:t>
      </w:r>
      <w:r w:rsidRPr="009A5E66">
        <w:rPr>
          <w:rFonts w:asciiTheme="minorHAnsi" w:hAnsiTheme="minorHAnsi"/>
          <w:sz w:val="22"/>
          <w:szCs w:val="22"/>
        </w:rPr>
        <w:t>Rozwoj</w:t>
      </w:r>
      <w:r w:rsidR="00870C75" w:rsidRPr="009A5E66">
        <w:rPr>
          <w:rFonts w:asciiTheme="minorHAnsi" w:hAnsiTheme="minorHAnsi"/>
          <w:sz w:val="22"/>
          <w:szCs w:val="22"/>
        </w:rPr>
        <w:t>u</w:t>
      </w:r>
      <w:r w:rsidR="00870C75" w:rsidRPr="00DD0783">
        <w:rPr>
          <w:rFonts w:asciiTheme="minorHAnsi" w:hAnsiTheme="minorHAnsi"/>
          <w:sz w:val="22"/>
          <w:szCs w:val="22"/>
        </w:rPr>
        <w:t xml:space="preserve"> </w:t>
      </w:r>
    </w:p>
    <w:p w14:paraId="4B23E296" w14:textId="77777777" w:rsidR="0018241A" w:rsidRPr="00DD0783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 xml:space="preserve">3) </w:t>
      </w:r>
      <w:r w:rsidR="00870C75" w:rsidRPr="00DD0783">
        <w:rPr>
          <w:rFonts w:asciiTheme="minorHAnsi" w:hAnsiTheme="minorHAnsi"/>
          <w:b/>
          <w:bCs/>
          <w:sz w:val="22"/>
          <w:szCs w:val="22"/>
        </w:rPr>
        <w:t xml:space="preserve">RPO WD 2014-2020 </w:t>
      </w:r>
      <w:r w:rsidR="00870C75" w:rsidRPr="00DD0783">
        <w:rPr>
          <w:rFonts w:asciiTheme="minorHAnsi" w:hAnsiTheme="minorHAnsi"/>
          <w:sz w:val="22"/>
          <w:szCs w:val="22"/>
        </w:rPr>
        <w:t xml:space="preserve">– Regionalny Program Operacyjny Województwa </w:t>
      </w:r>
      <w:r w:rsidR="00C34307" w:rsidRPr="00DD0783">
        <w:rPr>
          <w:rFonts w:asciiTheme="minorHAnsi" w:hAnsiTheme="minorHAnsi"/>
          <w:sz w:val="22"/>
          <w:szCs w:val="22"/>
        </w:rPr>
        <w:t>Dolnośląskiego</w:t>
      </w:r>
      <w:r w:rsidR="00870C75" w:rsidRPr="00DD0783">
        <w:rPr>
          <w:rFonts w:asciiTheme="minorHAnsi" w:hAnsiTheme="minorHAnsi"/>
          <w:sz w:val="22"/>
          <w:szCs w:val="22"/>
        </w:rPr>
        <w:t xml:space="preserve"> 2014-2020;</w:t>
      </w:r>
      <w:r w:rsidRPr="00DD0783">
        <w:rPr>
          <w:rFonts w:asciiTheme="minorHAnsi" w:hAnsiTheme="minorHAnsi"/>
          <w:sz w:val="22"/>
          <w:szCs w:val="22"/>
        </w:rPr>
        <w:t xml:space="preserve"> </w:t>
      </w:r>
    </w:p>
    <w:p w14:paraId="3AB8669D" w14:textId="77777777" w:rsidR="00C34307" w:rsidRPr="00DD0783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4)</w:t>
      </w:r>
      <w:r w:rsidR="00C34307" w:rsidRPr="00DD0783">
        <w:rPr>
          <w:rFonts w:asciiTheme="minorHAnsi" w:hAnsiTheme="minorHAnsi"/>
          <w:sz w:val="22"/>
          <w:szCs w:val="22"/>
        </w:rPr>
        <w:t> </w:t>
      </w:r>
      <w:r w:rsidR="00870C75" w:rsidRPr="00DD0783">
        <w:rPr>
          <w:rFonts w:asciiTheme="minorHAnsi" w:hAnsiTheme="minorHAnsi"/>
          <w:b/>
          <w:bCs/>
          <w:sz w:val="22"/>
          <w:szCs w:val="22"/>
        </w:rPr>
        <w:t xml:space="preserve">IZ RPO WD </w:t>
      </w:r>
      <w:r w:rsidR="00870C75" w:rsidRPr="00DD0783">
        <w:rPr>
          <w:rFonts w:asciiTheme="minorHAnsi" w:hAnsiTheme="minorHAnsi"/>
          <w:sz w:val="22"/>
          <w:szCs w:val="22"/>
        </w:rPr>
        <w:t>– Instytucja Zarządzająca Regionalnym Programem Operacyjnym Województwa Dolnośląskiego 2014-2020;</w:t>
      </w:r>
    </w:p>
    <w:p w14:paraId="4F4571DF" w14:textId="77777777" w:rsidR="005100D3" w:rsidRPr="00DD0783" w:rsidRDefault="00C34307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5) </w:t>
      </w:r>
      <w:r w:rsidR="005100D3" w:rsidRPr="00DD0783">
        <w:rPr>
          <w:rFonts w:asciiTheme="minorHAnsi" w:hAnsiTheme="minorHAnsi"/>
          <w:b/>
          <w:sz w:val="22"/>
          <w:szCs w:val="22"/>
        </w:rPr>
        <w:t>IP RPO WD</w:t>
      </w:r>
      <w:r w:rsidR="005100D3" w:rsidRPr="00DD0783">
        <w:rPr>
          <w:rFonts w:asciiTheme="minorHAnsi" w:hAnsiTheme="minorHAnsi"/>
          <w:sz w:val="22"/>
          <w:szCs w:val="22"/>
        </w:rPr>
        <w:t xml:space="preserve"> – Instytucja Pośrednicząca w ramach Regionalnego Programem Operacyjnego Województwa Dolnośląskiego 2014-2020</w:t>
      </w:r>
      <w:r w:rsidR="003F6BB8" w:rsidRPr="00DD0783">
        <w:rPr>
          <w:rFonts w:asciiTheme="minorHAnsi" w:hAnsiTheme="minorHAnsi"/>
          <w:sz w:val="22"/>
          <w:szCs w:val="22"/>
        </w:rPr>
        <w:t>.</w:t>
      </w:r>
    </w:p>
    <w:p w14:paraId="362E53E0" w14:textId="77777777" w:rsidR="00D82864" w:rsidRPr="00DD0783" w:rsidRDefault="00D82864" w:rsidP="00C10F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2A548661" w14:textId="77777777" w:rsidR="000C3A67" w:rsidRPr="003C3DD4" w:rsidRDefault="00AC4264" w:rsidP="003C3DD4">
      <w:pPr>
        <w:pStyle w:val="Default"/>
        <w:numPr>
          <w:ilvl w:val="0"/>
          <w:numId w:val="27"/>
        </w:numPr>
        <w:ind w:left="567"/>
        <w:jc w:val="center"/>
        <w:rPr>
          <w:rFonts w:asciiTheme="minorHAnsi" w:hAnsiTheme="minorHAnsi"/>
          <w:b/>
          <w:sz w:val="22"/>
          <w:szCs w:val="22"/>
        </w:rPr>
      </w:pPr>
      <w:r w:rsidRPr="00203B6D">
        <w:rPr>
          <w:rFonts w:asciiTheme="minorHAnsi" w:hAnsiTheme="minorHAnsi"/>
          <w:b/>
          <w:bCs/>
          <w:sz w:val="22"/>
          <w:szCs w:val="22"/>
        </w:rPr>
        <w:t xml:space="preserve">CEL I ZAKRES REGULACJI ORAZ OBOWIĄZYWANIA </w:t>
      </w:r>
      <w:r w:rsidRPr="00203B6D">
        <w:rPr>
          <w:rFonts w:asciiTheme="minorHAnsi" w:hAnsiTheme="minorHAnsi"/>
          <w:b/>
          <w:bCs/>
          <w:i/>
          <w:sz w:val="22"/>
          <w:szCs w:val="22"/>
        </w:rPr>
        <w:t xml:space="preserve">”ZASAD </w:t>
      </w:r>
      <w:r w:rsidRPr="003C3DD4">
        <w:rPr>
          <w:rFonts w:asciiTheme="minorHAnsi" w:hAnsiTheme="minorHAnsi"/>
          <w:b/>
          <w:bCs/>
          <w:i/>
          <w:sz w:val="22"/>
          <w:szCs w:val="22"/>
        </w:rPr>
        <w:t>KWALIFIKOWALNOŚCI WYDATKÓW FINANSOWANYCH Z EUROPEJSKIEGO FUNDUSZU ROZWOJU REGIONALNEGO W RAMACH REGIONALNEGO PROGRAMU OPERACYJNEGO WOJEWÓDZTWA DOLNOŚLĄSKIEGO 2014-2020”</w:t>
      </w:r>
    </w:p>
    <w:p w14:paraId="07B3EE17" w14:textId="77777777" w:rsidR="009F7CF2" w:rsidRPr="009A5E66" w:rsidRDefault="009F7CF2" w:rsidP="00C10F6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CC19A56" w14:textId="77777777" w:rsidR="000906B8" w:rsidRPr="00DD0783" w:rsidRDefault="000906B8" w:rsidP="000906B8">
      <w:pPr>
        <w:tabs>
          <w:tab w:val="left" w:pos="5330"/>
        </w:tabs>
        <w:spacing w:line="240" w:lineRule="auto"/>
        <w:jc w:val="both"/>
        <w:rPr>
          <w:rFonts w:cs="Arial"/>
          <w:color w:val="000000"/>
        </w:rPr>
      </w:pPr>
      <w:r w:rsidRPr="009A5E66">
        <w:rPr>
          <w:rFonts w:cs="Arial"/>
          <w:color w:val="000000"/>
        </w:rPr>
        <w:t xml:space="preserve">Warunki, o których mowa w </w:t>
      </w:r>
      <w:r w:rsidR="00335251" w:rsidRPr="009A5E66">
        <w:rPr>
          <w:rFonts w:cs="Arial"/>
          <w:color w:val="000000"/>
        </w:rPr>
        <w:t>„</w:t>
      </w:r>
      <w:r w:rsidR="00335251" w:rsidRPr="009E58A1">
        <w:rPr>
          <w:rFonts w:cs="Arial"/>
          <w:i/>
          <w:color w:val="000000"/>
        </w:rPr>
        <w:t>Z</w:t>
      </w:r>
      <w:r w:rsidRPr="009E58A1">
        <w:rPr>
          <w:rFonts w:cs="Arial"/>
          <w:i/>
          <w:color w:val="000000"/>
        </w:rPr>
        <w:t>asadach</w:t>
      </w:r>
      <w:r w:rsidR="00335251" w:rsidRPr="009A5E66">
        <w:rPr>
          <w:rFonts w:cs="Arial"/>
          <w:i/>
          <w:color w:val="000000"/>
        </w:rPr>
        <w:t xml:space="preserve"> </w:t>
      </w:r>
      <w:r w:rsidR="00335251" w:rsidRPr="009A5E66">
        <w:rPr>
          <w:bCs/>
          <w:i/>
        </w:rPr>
        <w:t>kwalifikowalności wydatków finansowanych z Europejskiego Funduszu Rozwoju Regionalnego w ramach Regionalnego Programu Operacyjnego Województwa Dolnośląskiego 2014-2020</w:t>
      </w:r>
      <w:r w:rsidR="00335251" w:rsidRPr="009A5E66">
        <w:rPr>
          <w:rFonts w:cs="Arial"/>
          <w:i/>
          <w:color w:val="000000"/>
        </w:rPr>
        <w:t>”</w:t>
      </w:r>
      <w:r w:rsidR="00335251" w:rsidRPr="009A5E66">
        <w:rPr>
          <w:rFonts w:cs="Arial"/>
          <w:color w:val="000000"/>
        </w:rPr>
        <w:t xml:space="preserve"> (</w:t>
      </w:r>
      <w:r w:rsidR="00AB3866" w:rsidRPr="009A5E66">
        <w:rPr>
          <w:rFonts w:cs="Arial"/>
          <w:color w:val="000000"/>
        </w:rPr>
        <w:t>dalej</w:t>
      </w:r>
      <w:r w:rsidR="00467A9A">
        <w:rPr>
          <w:rFonts w:cs="Arial"/>
          <w:color w:val="000000"/>
        </w:rPr>
        <w:t>:</w:t>
      </w:r>
      <w:r w:rsidR="00AB3866" w:rsidRPr="009A5E66">
        <w:rPr>
          <w:rFonts w:cs="Arial"/>
          <w:color w:val="000000"/>
        </w:rPr>
        <w:t xml:space="preserve"> </w:t>
      </w:r>
      <w:r w:rsidR="00AB3866" w:rsidRPr="009E58A1">
        <w:rPr>
          <w:rFonts w:cs="Arial"/>
          <w:i/>
          <w:color w:val="000000"/>
        </w:rPr>
        <w:t>„Zasady”</w:t>
      </w:r>
      <w:r w:rsidR="00AB3866" w:rsidRPr="009A5E66">
        <w:rPr>
          <w:rFonts w:cs="Arial"/>
          <w:color w:val="000000"/>
        </w:rPr>
        <w:t>)</w:t>
      </w:r>
      <w:r w:rsidRPr="009A5E66">
        <w:rPr>
          <w:rFonts w:cs="Arial"/>
          <w:color w:val="000000"/>
        </w:rPr>
        <w:t>, są zgodne w szczególności z:</w:t>
      </w:r>
    </w:p>
    <w:p w14:paraId="22CC058D" w14:textId="2E400971" w:rsidR="00CA76E6" w:rsidRDefault="000906B8" w:rsidP="00CA76E6">
      <w:pPr>
        <w:tabs>
          <w:tab w:val="left" w:pos="5330"/>
        </w:tabs>
        <w:spacing w:line="240" w:lineRule="auto"/>
        <w:jc w:val="both"/>
      </w:pPr>
      <w:r w:rsidRPr="00DD0783">
        <w:t xml:space="preserve">a) </w:t>
      </w:r>
      <w:r w:rsidR="00CA76E6">
        <w:t xml:space="preserve">rozporządzeniem Parlamentu Europejskiego i Rady (UE, Euratom) nr 2018/1046 z dnia 18 lipca 2018 r. w sprawie zasad finansowych mających zastosowanie do budżetu ogólnego Unii, zmieniającym rozporządzenia (UE) nr 1296/2013, (UE) nr 1301/2013, (UE) nr 1303/2013, (UE) nr 1304/2013, (UE) nr 1309/2013, (UE) nr 1316/2013, (UE) nr 223/2014 i (UE) nr 283/2014 oraz decyzję nr 541/2014/UE, a także uchylającym rozporządzenie (UE, Euratom) nr 966/2012 (Dz. Urz. UE L 193 z 30.07.2018, str. 222), </w:t>
      </w:r>
    </w:p>
    <w:p w14:paraId="4A4A8EA3" w14:textId="1AA6FB05" w:rsidR="000906B8" w:rsidRPr="00DD0783" w:rsidRDefault="00CA76E6" w:rsidP="000906B8">
      <w:pPr>
        <w:tabs>
          <w:tab w:val="left" w:pos="5330"/>
        </w:tabs>
        <w:spacing w:line="240" w:lineRule="auto"/>
        <w:jc w:val="both"/>
      </w:pPr>
      <w:r>
        <w:t xml:space="preserve">b) </w:t>
      </w:r>
      <w:r w:rsidR="000906B8" w:rsidRPr="00DD0783">
        <w:t xml:space="preserve">przepisami Rozdziału III </w:t>
      </w:r>
      <w:r w:rsidR="000906B8" w:rsidRPr="00DD0783">
        <w:rPr>
          <w:i/>
          <w:iCs/>
        </w:rPr>
        <w:t xml:space="preserve">Kwalifikowalność wydatków i trwałość </w:t>
      </w:r>
      <w:r w:rsidR="000906B8" w:rsidRPr="00DD0783">
        <w:t xml:space="preserve">w Tytule VII </w:t>
      </w:r>
      <w:r w:rsidR="000906B8" w:rsidRPr="00DD0783">
        <w:rPr>
          <w:i/>
          <w:iCs/>
        </w:rPr>
        <w:t xml:space="preserve">Wsparcie finansowe z EFSI </w:t>
      </w:r>
      <w:r w:rsidR="000906B8" w:rsidRPr="00DD0783"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 (Dz. Urz. UE L 347 z 20.12.2013, str. 320, z późn. zm.), [</w:t>
      </w:r>
      <w:r w:rsidR="00467A9A">
        <w:t xml:space="preserve">dalej: </w:t>
      </w:r>
      <w:r w:rsidR="000906B8" w:rsidRPr="00DD0783">
        <w:t>„rozporządzenie ogóln</w:t>
      </w:r>
      <w:r>
        <w:t>e</w:t>
      </w:r>
      <w:r w:rsidR="000906B8" w:rsidRPr="00DD0783">
        <w:t xml:space="preserve">”], </w:t>
      </w:r>
    </w:p>
    <w:p w14:paraId="294EE24D" w14:textId="12F8A165" w:rsidR="000906B8" w:rsidRPr="00DD0783" w:rsidRDefault="000906B8" w:rsidP="000906B8">
      <w:pPr>
        <w:tabs>
          <w:tab w:val="left" w:pos="5330"/>
        </w:tabs>
        <w:spacing w:line="240" w:lineRule="auto"/>
        <w:jc w:val="both"/>
      </w:pPr>
      <w:r w:rsidRPr="00DD0783">
        <w:t>b) rozporządzeniem Parlamentu Europejskiego i Rady (UE) nr 1301/2013 z dnia 17 grudnia 2013 r. w sprawie Europejskiego Funduszu Rozwoju Regionalnego</w:t>
      </w:r>
      <w:r w:rsidRPr="00DD0783">
        <w:rPr>
          <w:rFonts w:cs="Arial"/>
          <w:color w:val="000000"/>
        </w:rPr>
        <w:t xml:space="preserve"> </w:t>
      </w:r>
      <w:r w:rsidRPr="00DD0783">
        <w:t>i przepisów szczególnych dotyczących celu „Inwestycje na rzecz wzrostu i zatrudnienia” oraz w sprawie uchylenia rozporządzenia (WE) nr 1080/2006 (Dz. Urz. UE L 347 z 20.12.2013, str. 289) [</w:t>
      </w:r>
      <w:r w:rsidR="00467A9A">
        <w:t xml:space="preserve">dalej: </w:t>
      </w:r>
      <w:r w:rsidRPr="00DD0783">
        <w:t xml:space="preserve">„rozporządzenie EFRR”], </w:t>
      </w:r>
    </w:p>
    <w:p w14:paraId="524C6AB4" w14:textId="2C856213" w:rsidR="000906B8" w:rsidRPr="00DD0783" w:rsidRDefault="000906B8" w:rsidP="000906B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c) „</w:t>
      </w:r>
      <w:r w:rsidRPr="00DD0783">
        <w:rPr>
          <w:rFonts w:asciiTheme="minorHAnsi" w:hAnsiTheme="minorHAnsi"/>
          <w:i/>
          <w:sz w:val="22"/>
          <w:szCs w:val="22"/>
        </w:rPr>
        <w:t>Wytycznymi w zakresie kwalifikowalności wydatków w ramach Europejskiego Funduszu Rozwoju Regionalnego, Europejskiego Funduszu Społecznego oraz Funduszu Spójności na lata 2014-2020”</w:t>
      </w:r>
      <w:r w:rsidRPr="00DD0783">
        <w:rPr>
          <w:rFonts w:asciiTheme="minorHAnsi" w:hAnsiTheme="minorHAnsi"/>
          <w:sz w:val="22"/>
          <w:szCs w:val="22"/>
        </w:rPr>
        <w:t xml:space="preserve"> [dalej: „wytyczn</w:t>
      </w:r>
      <w:r w:rsidR="00CA76E6">
        <w:rPr>
          <w:rFonts w:asciiTheme="minorHAnsi" w:hAnsiTheme="minorHAnsi"/>
          <w:sz w:val="22"/>
          <w:szCs w:val="22"/>
        </w:rPr>
        <w:t>e</w:t>
      </w:r>
      <w:r w:rsidRPr="00DD0783">
        <w:rPr>
          <w:rFonts w:asciiTheme="minorHAnsi" w:hAnsiTheme="minorHAnsi"/>
          <w:sz w:val="22"/>
          <w:szCs w:val="22"/>
        </w:rPr>
        <w:t xml:space="preserve"> horyzontaln</w:t>
      </w:r>
      <w:r w:rsidR="00CA76E6">
        <w:rPr>
          <w:rFonts w:asciiTheme="minorHAnsi" w:hAnsiTheme="minorHAnsi"/>
          <w:sz w:val="22"/>
          <w:szCs w:val="22"/>
        </w:rPr>
        <w:t>e</w:t>
      </w:r>
      <w:r w:rsidRPr="00DD0783">
        <w:rPr>
          <w:rFonts w:asciiTheme="minorHAnsi" w:hAnsiTheme="minorHAnsi"/>
          <w:sz w:val="22"/>
          <w:szCs w:val="22"/>
        </w:rPr>
        <w:t>”].</w:t>
      </w:r>
    </w:p>
    <w:p w14:paraId="58A66736" w14:textId="77777777" w:rsidR="000906B8" w:rsidRPr="00DD0783" w:rsidRDefault="000906B8" w:rsidP="000906B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2D26B12" w14:textId="03208D59" w:rsidR="00267983" w:rsidRPr="00DD0783" w:rsidRDefault="00267983" w:rsidP="00267983">
      <w:pPr>
        <w:autoSpaceDE w:val="0"/>
        <w:autoSpaceDN w:val="0"/>
        <w:adjustRightInd w:val="0"/>
        <w:spacing w:after="0" w:line="240" w:lineRule="auto"/>
        <w:jc w:val="both"/>
      </w:pPr>
      <w:r w:rsidRPr="009A5E66">
        <w:rPr>
          <w:b/>
        </w:rPr>
        <w:t xml:space="preserve">Podstawowym dokumentem w zakresie kwalifikowalności wydatków w RPO WD 2014-2020 są </w:t>
      </w:r>
      <w:r w:rsidR="002C5B11" w:rsidRPr="009A5E66">
        <w:rPr>
          <w:b/>
        </w:rPr>
        <w:t>wytyczne horyzontalne – „</w:t>
      </w:r>
      <w:r w:rsidRPr="009A5E66">
        <w:rPr>
          <w:b/>
          <w:i/>
        </w:rPr>
        <w:t>Wytyczne w zakresie kwalifikowalności wydatków w ramach Europejskiego Fun</w:t>
      </w:r>
      <w:r w:rsidRPr="0095520C">
        <w:rPr>
          <w:b/>
          <w:i/>
        </w:rPr>
        <w:t>duszu Rozwoju Regionalnego, Europejskiego Funduszu Społecznego oraz Funduszu Spójności na lata 2014-2020</w:t>
      </w:r>
      <w:r w:rsidR="002C5B11" w:rsidRPr="00CE736E">
        <w:rPr>
          <w:b/>
          <w:i/>
        </w:rPr>
        <w:t>”</w:t>
      </w:r>
      <w:r w:rsidRPr="00C40B9D">
        <w:rPr>
          <w:b/>
        </w:rPr>
        <w:t xml:space="preserve"> wydane przez Ministra Rozwoju</w:t>
      </w:r>
      <w:r w:rsidR="003F6BB8" w:rsidRPr="00C40B9D">
        <w:rPr>
          <w:b/>
        </w:rPr>
        <w:t xml:space="preserve"> i Finansów</w:t>
      </w:r>
      <w:r w:rsidRPr="00C40B9D">
        <w:rPr>
          <w:b/>
        </w:rPr>
        <w:t>.</w:t>
      </w:r>
      <w:r w:rsidRPr="00C40B9D">
        <w:t xml:space="preserve"> </w:t>
      </w:r>
      <w:r w:rsidRPr="00C40B9D">
        <w:rPr>
          <w:b/>
        </w:rPr>
        <w:t xml:space="preserve">Oznacza to, że zapisy </w:t>
      </w:r>
      <w:r w:rsidR="002C5B11" w:rsidRPr="00C40B9D">
        <w:rPr>
          <w:b/>
        </w:rPr>
        <w:t xml:space="preserve">ww. </w:t>
      </w:r>
      <w:r w:rsidRPr="00C40B9D">
        <w:rPr>
          <w:b/>
        </w:rPr>
        <w:t>wytycznych horyzontalnych mają bezpośrednie zastosowanie we wdrażaniu RPO WD 2014-2020, z</w:t>
      </w:r>
      <w:r w:rsidR="005A2D3C">
        <w:rPr>
          <w:b/>
        </w:rPr>
        <w:t> </w:t>
      </w:r>
      <w:r w:rsidRPr="00C40B9D">
        <w:rPr>
          <w:b/>
        </w:rPr>
        <w:t xml:space="preserve">zastrzeżeniem zapisów niniejszych </w:t>
      </w:r>
      <w:r w:rsidR="00335251" w:rsidRPr="00C40B9D">
        <w:rPr>
          <w:b/>
        </w:rPr>
        <w:t>„</w:t>
      </w:r>
      <w:r w:rsidR="00335251" w:rsidRPr="009E58A1">
        <w:rPr>
          <w:b/>
          <w:i/>
        </w:rPr>
        <w:t>Z</w:t>
      </w:r>
      <w:r w:rsidR="009241EE" w:rsidRPr="009E58A1">
        <w:rPr>
          <w:b/>
          <w:i/>
        </w:rPr>
        <w:t>asad</w:t>
      </w:r>
      <w:r w:rsidR="00335251" w:rsidRPr="009A5E66">
        <w:rPr>
          <w:b/>
          <w:i/>
        </w:rPr>
        <w:t>”</w:t>
      </w:r>
      <w:r w:rsidR="00335251" w:rsidRPr="009A5E66">
        <w:rPr>
          <w:b/>
        </w:rPr>
        <w:t>,</w:t>
      </w:r>
      <w:r w:rsidR="009241EE" w:rsidRPr="009A5E66">
        <w:rPr>
          <w:b/>
        </w:rPr>
        <w:t xml:space="preserve"> </w:t>
      </w:r>
      <w:r w:rsidRPr="009A5E66">
        <w:rPr>
          <w:b/>
        </w:rPr>
        <w:t>któr</w:t>
      </w:r>
      <w:r w:rsidR="000906B8" w:rsidRPr="009A5E66">
        <w:rPr>
          <w:b/>
        </w:rPr>
        <w:t>e</w:t>
      </w:r>
      <w:r w:rsidR="003F6BB8" w:rsidRPr="0095520C">
        <w:rPr>
          <w:b/>
        </w:rPr>
        <w:t xml:space="preserve"> </w:t>
      </w:r>
      <w:r w:rsidRPr="0095520C">
        <w:rPr>
          <w:b/>
        </w:rPr>
        <w:t xml:space="preserve"> zawiera</w:t>
      </w:r>
      <w:r w:rsidR="000906B8" w:rsidRPr="00CE736E">
        <w:rPr>
          <w:b/>
        </w:rPr>
        <w:t>ją</w:t>
      </w:r>
      <w:r w:rsidRPr="00C40B9D">
        <w:rPr>
          <w:b/>
        </w:rPr>
        <w:t xml:space="preserve"> dodatkowe ograniczenia lub wskazuj</w:t>
      </w:r>
      <w:r w:rsidR="000906B8" w:rsidRPr="00C40B9D">
        <w:rPr>
          <w:b/>
        </w:rPr>
        <w:t>ą</w:t>
      </w:r>
      <w:r w:rsidRPr="00C40B9D">
        <w:rPr>
          <w:b/>
        </w:rPr>
        <w:t xml:space="preserve"> na niekwalifikowalność w zakresie poszczególnych kategorii wydatków </w:t>
      </w:r>
      <w:bookmarkStart w:id="3" w:name="_Hlk520107836"/>
      <w:r w:rsidR="00AB3866" w:rsidRPr="00C40B9D">
        <w:rPr>
          <w:b/>
        </w:rPr>
        <w:t xml:space="preserve">finansowanych z EFRR – </w:t>
      </w:r>
      <w:bookmarkEnd w:id="3"/>
      <w:r w:rsidRPr="00C40B9D">
        <w:rPr>
          <w:b/>
        </w:rPr>
        <w:t>wiążące dla Wnioskodawców i Beneficjentów RPO WD 2014-2020.</w:t>
      </w:r>
      <w:r w:rsidRPr="00DD0783">
        <w:t xml:space="preserve"> </w:t>
      </w:r>
    </w:p>
    <w:p w14:paraId="5D624CF5" w14:textId="77777777" w:rsidR="000D0C61" w:rsidRPr="00DD0783" w:rsidRDefault="000D0C61" w:rsidP="00C10F6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F2F2E6C" w14:textId="77777777" w:rsidR="000F49C6" w:rsidRPr="00DD0783" w:rsidRDefault="00AB3866" w:rsidP="00E71C56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Theme="minorHAnsi" w:hAnsiTheme="minorHAnsi"/>
          <w:i/>
          <w:iCs/>
          <w:sz w:val="22"/>
          <w:szCs w:val="22"/>
        </w:rPr>
      </w:pPr>
      <w:bookmarkStart w:id="4" w:name="_Hlk491428855"/>
      <w:r>
        <w:rPr>
          <w:rFonts w:asciiTheme="minorHAnsi" w:hAnsiTheme="minorHAnsi"/>
          <w:i/>
          <w:iCs/>
          <w:sz w:val="22"/>
          <w:szCs w:val="22"/>
        </w:rPr>
        <w:lastRenderedPageBreak/>
        <w:t>„</w:t>
      </w:r>
      <w:r w:rsidR="009241EE" w:rsidRPr="009E58A1">
        <w:rPr>
          <w:rFonts w:asciiTheme="minorHAnsi" w:hAnsiTheme="minorHAnsi"/>
          <w:i/>
          <w:iCs/>
          <w:sz w:val="22"/>
          <w:szCs w:val="22"/>
        </w:rPr>
        <w:t>Zasady</w:t>
      </w:r>
      <w:bookmarkEnd w:id="4"/>
      <w:r>
        <w:rPr>
          <w:rFonts w:asciiTheme="minorHAnsi" w:hAnsiTheme="minorHAnsi"/>
          <w:i/>
          <w:iCs/>
          <w:sz w:val="22"/>
          <w:szCs w:val="22"/>
        </w:rPr>
        <w:t>”</w:t>
      </w:r>
      <w:r w:rsidR="009241EE" w:rsidRPr="00DD0783">
        <w:rPr>
          <w:rFonts w:asciiTheme="minorHAnsi" w:hAnsiTheme="minorHAnsi"/>
          <w:iCs/>
          <w:sz w:val="22"/>
          <w:szCs w:val="22"/>
        </w:rPr>
        <w:t xml:space="preserve"> </w:t>
      </w:r>
      <w:r w:rsidR="000D0C61" w:rsidRPr="00DD0783">
        <w:rPr>
          <w:rFonts w:asciiTheme="minorHAnsi" w:hAnsiTheme="minorHAnsi"/>
          <w:sz w:val="22"/>
          <w:szCs w:val="22"/>
        </w:rPr>
        <w:t>mają zastosowanie do wydatków ponoszonych zarówno w ramach współfinansowania krajowego (w tym wkładu własnego), jak i ze środków unijnych w ramach realizacji projektu współfinansowanego z Europejskiego Funduszu Rozwoju Regionalnego (EFRR) w ramach RPO WD</w:t>
      </w:r>
      <w:r w:rsidR="00C10F6C" w:rsidRPr="00DD0783">
        <w:rPr>
          <w:rFonts w:asciiTheme="minorHAnsi" w:hAnsiTheme="minorHAnsi"/>
          <w:sz w:val="22"/>
          <w:szCs w:val="22"/>
        </w:rPr>
        <w:t xml:space="preserve"> (wyłącznie w ramach Osi Priorytetowych 1 – 7)</w:t>
      </w:r>
      <w:r w:rsidR="000D0C61" w:rsidRPr="00DD0783">
        <w:rPr>
          <w:rFonts w:asciiTheme="minorHAnsi" w:hAnsiTheme="minorHAnsi"/>
          <w:sz w:val="22"/>
          <w:szCs w:val="22"/>
        </w:rPr>
        <w:t>.</w:t>
      </w:r>
      <w:r w:rsidR="000F49C6"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7014A06D" w14:textId="77777777" w:rsidR="000F49C6" w:rsidRPr="00DD0783" w:rsidRDefault="00AB3866" w:rsidP="00E71C56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Theme="minorHAnsi" w:hAnsiTheme="minorHAnsi"/>
          <w:sz w:val="22"/>
          <w:szCs w:val="22"/>
        </w:rPr>
      </w:pPr>
      <w:bookmarkStart w:id="5" w:name="_Hlk492458836"/>
      <w:r>
        <w:rPr>
          <w:rFonts w:asciiTheme="minorHAnsi" w:hAnsiTheme="minorHAnsi"/>
          <w:i/>
          <w:iCs/>
          <w:sz w:val="22"/>
          <w:szCs w:val="22"/>
        </w:rPr>
        <w:t>„</w:t>
      </w:r>
      <w:r w:rsidR="009241EE" w:rsidRPr="009E58A1">
        <w:rPr>
          <w:rFonts w:asciiTheme="minorHAnsi" w:hAnsiTheme="minorHAnsi"/>
          <w:i/>
          <w:iCs/>
          <w:sz w:val="22"/>
          <w:szCs w:val="22"/>
        </w:rPr>
        <w:t>Zasady</w:t>
      </w:r>
      <w:r>
        <w:rPr>
          <w:rFonts w:asciiTheme="minorHAnsi" w:hAnsiTheme="minorHAnsi"/>
          <w:i/>
          <w:iCs/>
          <w:sz w:val="22"/>
          <w:szCs w:val="22"/>
        </w:rPr>
        <w:t>”</w:t>
      </w:r>
      <w:r w:rsidR="000F49C6"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0F49C6" w:rsidRPr="00DD0783">
        <w:rPr>
          <w:rFonts w:asciiTheme="minorHAnsi" w:hAnsiTheme="minorHAnsi"/>
          <w:sz w:val="22"/>
          <w:szCs w:val="22"/>
        </w:rPr>
        <w:t xml:space="preserve">nie mają zastosowania do instrumentów </w:t>
      </w:r>
      <w:r w:rsidR="008C55F5" w:rsidRPr="00DD0783">
        <w:rPr>
          <w:rFonts w:asciiTheme="minorHAnsi" w:hAnsiTheme="minorHAnsi"/>
          <w:sz w:val="22"/>
          <w:szCs w:val="22"/>
        </w:rPr>
        <w:t>finansowych</w:t>
      </w:r>
      <w:r w:rsidR="000F49C6" w:rsidRPr="00DD0783">
        <w:rPr>
          <w:rFonts w:asciiTheme="minorHAnsi" w:hAnsiTheme="minorHAnsi"/>
          <w:sz w:val="22"/>
          <w:szCs w:val="22"/>
        </w:rPr>
        <w:t xml:space="preserve">. </w:t>
      </w:r>
      <w:r w:rsidR="000D0C61" w:rsidRPr="00DD0783">
        <w:rPr>
          <w:rFonts w:asciiTheme="minorHAnsi" w:hAnsiTheme="minorHAnsi"/>
          <w:sz w:val="22"/>
          <w:szCs w:val="22"/>
        </w:rPr>
        <w:t xml:space="preserve"> </w:t>
      </w:r>
    </w:p>
    <w:bookmarkEnd w:id="5"/>
    <w:p w14:paraId="625B6277" w14:textId="77777777" w:rsidR="00267983" w:rsidRPr="00DD0783" w:rsidRDefault="000D0C61" w:rsidP="00E71C56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W przypadku projektów objętych zasadami pomocy publicznej – w rozumieniu Traktatu o</w:t>
      </w:r>
      <w:r w:rsidR="003F3E56" w:rsidRPr="00DD0783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 xml:space="preserve">funkcjonowaniu Unii Europejskiej (art. 93, art. 106 ust. 2, art. 107 ust. 2 i 3) za kwalifikowalne uznaje się tylko te wydatki, które spełniają łącznie warunki określone w </w:t>
      </w:r>
      <w:r w:rsidR="002800FC" w:rsidRPr="00DD0783">
        <w:rPr>
          <w:rFonts w:asciiTheme="minorHAnsi" w:hAnsiTheme="minorHAnsi"/>
          <w:iCs/>
          <w:sz w:val="22"/>
          <w:szCs w:val="22"/>
        </w:rPr>
        <w:t>w</w:t>
      </w:r>
      <w:r w:rsidR="0048731C" w:rsidRPr="00DD0783">
        <w:rPr>
          <w:rFonts w:asciiTheme="minorHAnsi" w:hAnsiTheme="minorHAnsi"/>
          <w:iCs/>
          <w:sz w:val="22"/>
          <w:szCs w:val="22"/>
        </w:rPr>
        <w:t>ytyczny</w:t>
      </w:r>
      <w:r w:rsidRPr="00DD0783">
        <w:rPr>
          <w:rFonts w:asciiTheme="minorHAnsi" w:hAnsiTheme="minorHAnsi"/>
          <w:iCs/>
          <w:sz w:val="22"/>
          <w:szCs w:val="22"/>
        </w:rPr>
        <w:t>ch</w:t>
      </w:r>
      <w:r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0783">
        <w:rPr>
          <w:rFonts w:asciiTheme="minorHAnsi" w:hAnsiTheme="minorHAnsi"/>
          <w:sz w:val="22"/>
          <w:szCs w:val="22"/>
        </w:rPr>
        <w:t>i warunki wynikające z odpowiednich regulacji w zakresie pomocy publicznej, przyjętych na poziomie unijnym lub krajowym</w:t>
      </w:r>
      <w:r w:rsidR="00420900" w:rsidRPr="00DD0783">
        <w:rPr>
          <w:rFonts w:asciiTheme="minorHAnsi" w:hAnsiTheme="minorHAnsi"/>
          <w:sz w:val="22"/>
          <w:szCs w:val="22"/>
        </w:rPr>
        <w:t>. W</w:t>
      </w:r>
      <w:r w:rsidR="00267983" w:rsidRPr="00DD0783">
        <w:rPr>
          <w:rFonts w:asciiTheme="minorHAnsi" w:hAnsiTheme="minorHAnsi"/>
          <w:sz w:val="22"/>
          <w:szCs w:val="22"/>
        </w:rPr>
        <w:t xml:space="preserve"> szcze</w:t>
      </w:r>
      <w:r w:rsidR="00420900" w:rsidRPr="00DD0783">
        <w:rPr>
          <w:rFonts w:asciiTheme="minorHAnsi" w:hAnsiTheme="minorHAnsi"/>
          <w:sz w:val="22"/>
          <w:szCs w:val="22"/>
        </w:rPr>
        <w:t xml:space="preserve">gólności </w:t>
      </w:r>
      <w:r w:rsidR="00420900" w:rsidRPr="00DD0783">
        <w:rPr>
          <w:rFonts w:asciiTheme="minorHAnsi" w:hAnsiTheme="minorHAnsi"/>
          <w:bCs/>
          <w:sz w:val="22"/>
          <w:szCs w:val="22"/>
        </w:rPr>
        <w:t xml:space="preserve">należy mieć na uwadze </w:t>
      </w:r>
      <w:r w:rsidR="00267983" w:rsidRPr="00DD0783">
        <w:rPr>
          <w:rFonts w:asciiTheme="minorHAnsi" w:hAnsiTheme="minorHAnsi"/>
          <w:sz w:val="22"/>
          <w:szCs w:val="22"/>
        </w:rPr>
        <w:t>m.in.</w:t>
      </w:r>
      <w:r w:rsidR="00420900" w:rsidRPr="00DD0783">
        <w:rPr>
          <w:rFonts w:asciiTheme="minorHAnsi" w:hAnsiTheme="minorHAnsi"/>
          <w:sz w:val="22"/>
          <w:szCs w:val="22"/>
        </w:rPr>
        <w:t>:</w:t>
      </w:r>
    </w:p>
    <w:p w14:paraId="66DD6C95" w14:textId="77777777" w:rsidR="00013AFB" w:rsidRPr="00DD0783" w:rsidRDefault="00267983" w:rsidP="00E71C56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rozporządzenie Komisji (UE) nr 651/2014 z dnia 17 czerwca 2014 r. uznające niektóre rodzaje pomocy za zgodne z rynkiem wewnętrznym w zastosowaniu art. 107 i 108 Traktatu (Dz. Urz. UE L 187/1 z 26.6.2014, str. 1</w:t>
      </w:r>
      <w:r w:rsidR="00B21109" w:rsidRPr="00DD0783">
        <w:rPr>
          <w:rFonts w:asciiTheme="minorHAnsi" w:hAnsiTheme="minorHAnsi"/>
          <w:sz w:val="22"/>
          <w:szCs w:val="22"/>
        </w:rPr>
        <w:t>, z późn. zm.</w:t>
      </w:r>
      <w:r w:rsidR="00B21109" w:rsidRPr="00DD0783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="009A5E66">
        <w:rPr>
          <w:rFonts w:asciiTheme="minorHAnsi" w:hAnsiTheme="minorHAnsi"/>
          <w:sz w:val="22"/>
          <w:szCs w:val="22"/>
        </w:rPr>
        <w:t>)</w:t>
      </w:r>
      <w:r w:rsidR="00B21109" w:rsidRPr="00DD0783">
        <w:rPr>
          <w:rFonts w:asciiTheme="minorHAnsi" w:hAnsiTheme="minorHAnsi"/>
          <w:sz w:val="22"/>
          <w:szCs w:val="22"/>
        </w:rPr>
        <w:t>,</w:t>
      </w:r>
    </w:p>
    <w:p w14:paraId="579B8BE9" w14:textId="77777777" w:rsidR="00225518" w:rsidRPr="00DD0783" w:rsidRDefault="000246BF" w:rsidP="00E71C56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Za</w:t>
      </w:r>
      <w:r w:rsidR="00225518" w:rsidRPr="00DD0783">
        <w:rPr>
          <w:rFonts w:asciiTheme="minorHAnsi" w:hAnsiTheme="minorHAnsi"/>
          <w:sz w:val="22"/>
          <w:szCs w:val="22"/>
        </w:rPr>
        <w:t>wiadomienie Komisji w sprawie pojęcia pomocy państwa w rozumieniu art. 107 ust. 1 Traktatu o funkcjonowaniu Unii Europejskiej (Dz. Urz. UE C 262/1 z 19.7.2016</w:t>
      </w:r>
      <w:r w:rsidR="0086480A" w:rsidRPr="00DD0783">
        <w:rPr>
          <w:rFonts w:asciiTheme="minorHAnsi" w:hAnsiTheme="minorHAnsi"/>
          <w:sz w:val="22"/>
          <w:szCs w:val="22"/>
        </w:rPr>
        <w:t>),</w:t>
      </w:r>
    </w:p>
    <w:p w14:paraId="0553462F" w14:textId="77777777" w:rsidR="00267983" w:rsidRPr="00DD0783" w:rsidRDefault="00267983" w:rsidP="00E71C56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rozporządzenie Parlamentu Europejskiego i Rady nr 1370/2007 z 23 października 2007 r. dotyczące usług publicznych w zakresie kolejowego i drogowego transportu pasażerskiego oraz uchylające rozporządzenia Rady (EWG) nr 1191/69 i (EWG) nr 1107/70 (Dz. Urz. L 315/1 z</w:t>
      </w:r>
      <w:r w:rsidR="00BF7A1E" w:rsidRPr="00DD0783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 xml:space="preserve">3.12.2007, str. 1), </w:t>
      </w:r>
    </w:p>
    <w:p w14:paraId="66B83910" w14:textId="12DB52B2" w:rsidR="00267983" w:rsidRPr="00DD0783" w:rsidRDefault="00267983" w:rsidP="00E71C56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decyzję Komisji z 20 grudnia 2011 r. w sprawie stosowania art. 106 ust. 2 Traktatu o funkcjonowaniu Unii Europejskiej do pomocy państwa w formie rekompensaty z tytułu świadczenia usług publicznych, przyznanej przedsiębiorstwom zobowiązanym do wykonywania usług świadczonych w</w:t>
      </w:r>
      <w:r w:rsidR="005A2D3C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 xml:space="preserve">ogólnym interesie gospodarczym (Dz. Urz. UE L 7/3 z 11.1.2012, str. 3). </w:t>
      </w:r>
    </w:p>
    <w:p w14:paraId="4471F94C" w14:textId="77777777" w:rsidR="002160BC" w:rsidRPr="00DD0783" w:rsidRDefault="000D0C61" w:rsidP="00013AFB">
      <w:pPr>
        <w:pStyle w:val="Default"/>
        <w:spacing w:after="60"/>
        <w:ind w:left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 xml:space="preserve">Do celów </w:t>
      </w:r>
      <w:r w:rsidR="009241EE" w:rsidRPr="00DD0783">
        <w:rPr>
          <w:rFonts w:asciiTheme="minorHAnsi" w:hAnsiTheme="minorHAnsi"/>
          <w:iCs/>
          <w:sz w:val="22"/>
          <w:szCs w:val="22"/>
        </w:rPr>
        <w:t xml:space="preserve">niniejszych </w:t>
      </w:r>
      <w:r w:rsidR="00203B6D" w:rsidRPr="00203B6D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203B6D">
        <w:rPr>
          <w:rFonts w:asciiTheme="minorHAnsi" w:hAnsiTheme="minorHAnsi"/>
          <w:i/>
          <w:iCs/>
          <w:sz w:val="22"/>
          <w:szCs w:val="22"/>
        </w:rPr>
        <w:t>„</w:t>
      </w:r>
      <w:r w:rsidR="00AB3866">
        <w:rPr>
          <w:rFonts w:asciiTheme="minorHAnsi" w:hAnsiTheme="minorHAnsi"/>
          <w:i/>
          <w:iCs/>
          <w:sz w:val="22"/>
          <w:szCs w:val="22"/>
        </w:rPr>
        <w:t>Z</w:t>
      </w:r>
      <w:r w:rsidR="009241EE" w:rsidRPr="009E58A1">
        <w:rPr>
          <w:rFonts w:asciiTheme="minorHAnsi" w:hAnsiTheme="minorHAnsi"/>
          <w:i/>
          <w:iCs/>
          <w:sz w:val="22"/>
          <w:szCs w:val="22"/>
        </w:rPr>
        <w:t>asad</w:t>
      </w:r>
      <w:r w:rsidR="00AB3866">
        <w:rPr>
          <w:rFonts w:asciiTheme="minorHAnsi" w:hAnsiTheme="minorHAnsi"/>
          <w:i/>
          <w:iCs/>
          <w:sz w:val="22"/>
          <w:szCs w:val="22"/>
        </w:rPr>
        <w:t>”</w:t>
      </w:r>
      <w:r w:rsidR="009241EE"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0783">
        <w:rPr>
          <w:rFonts w:asciiTheme="minorHAnsi" w:hAnsiTheme="minorHAnsi"/>
          <w:sz w:val="22"/>
          <w:szCs w:val="22"/>
        </w:rPr>
        <w:t xml:space="preserve">uznaje się, że pomoc publiczna obejmuje także pomoc </w:t>
      </w:r>
      <w:r w:rsidRPr="00DD0783">
        <w:rPr>
          <w:rFonts w:asciiTheme="minorHAnsi" w:hAnsiTheme="minorHAnsi"/>
          <w:i/>
          <w:iCs/>
          <w:sz w:val="22"/>
          <w:szCs w:val="22"/>
        </w:rPr>
        <w:t>de minimis</w:t>
      </w:r>
      <w:r w:rsidR="003F0BE3" w:rsidRPr="00DD0783">
        <w:rPr>
          <w:rFonts w:asciiTheme="minorHAnsi" w:hAnsiTheme="minorHAnsi"/>
          <w:iCs/>
          <w:sz w:val="22"/>
          <w:szCs w:val="22"/>
        </w:rPr>
        <w:t xml:space="preserve"> w</w:t>
      </w:r>
      <w:r w:rsidR="00BF7A1E" w:rsidRPr="00DD0783">
        <w:rPr>
          <w:rFonts w:asciiTheme="minorHAnsi" w:hAnsiTheme="minorHAnsi"/>
          <w:iCs/>
          <w:sz w:val="22"/>
          <w:szCs w:val="22"/>
        </w:rPr>
        <w:t> </w:t>
      </w:r>
      <w:r w:rsidR="003F0BE3" w:rsidRPr="00DD0783">
        <w:rPr>
          <w:rFonts w:asciiTheme="minorHAnsi" w:hAnsiTheme="minorHAnsi"/>
          <w:iCs/>
          <w:sz w:val="22"/>
          <w:szCs w:val="22"/>
        </w:rPr>
        <w:t xml:space="preserve">rozumieniu rozporządzenia Komisji (UE) nr 1407/2013 z  dnia  18  grudnia  2013  r. w  sprawie  stosowania  art.  107  i  108  Traktatu  o  funkcjonowaniu  Unii  Europejskiej  do  pomocy  </w:t>
      </w:r>
      <w:r w:rsidR="003F0BE3" w:rsidRPr="00DD0783">
        <w:rPr>
          <w:rFonts w:asciiTheme="minorHAnsi" w:hAnsiTheme="minorHAnsi"/>
          <w:i/>
          <w:iCs/>
          <w:sz w:val="22"/>
          <w:szCs w:val="22"/>
        </w:rPr>
        <w:t>de minimis</w:t>
      </w:r>
      <w:r w:rsidR="003F0BE3" w:rsidRPr="00DD0783">
        <w:rPr>
          <w:rFonts w:asciiTheme="minorHAnsi" w:hAnsiTheme="minorHAnsi"/>
          <w:iCs/>
          <w:sz w:val="22"/>
          <w:szCs w:val="22"/>
        </w:rPr>
        <w:t xml:space="preserve"> (Dz. Urz. UE L 352, 24.12.2013, s. 1)</w:t>
      </w:r>
      <w:r w:rsidR="0086480A" w:rsidRPr="00DD0783">
        <w:rPr>
          <w:rFonts w:asciiTheme="minorHAnsi" w:hAnsiTheme="minorHAnsi"/>
          <w:iCs/>
          <w:sz w:val="22"/>
          <w:szCs w:val="22"/>
        </w:rPr>
        <w:t xml:space="preserve"> oraz rozporządzenia Komisji (UE) nr 360/2012 z dnia 25 kwietnia 2012 r. w sprawie stosowania art. 107 i 108 Traktatu o funkcjonowaniu Unii Europejskiej do pomocy </w:t>
      </w:r>
      <w:r w:rsidR="0086480A" w:rsidRPr="009F303C">
        <w:rPr>
          <w:rFonts w:asciiTheme="minorHAnsi" w:hAnsiTheme="minorHAnsi"/>
          <w:i/>
          <w:iCs/>
          <w:sz w:val="22"/>
          <w:szCs w:val="22"/>
        </w:rPr>
        <w:t>de minimis</w:t>
      </w:r>
      <w:r w:rsidR="0086480A" w:rsidRPr="00DD0783">
        <w:rPr>
          <w:rFonts w:asciiTheme="minorHAnsi" w:hAnsiTheme="minorHAnsi"/>
          <w:iCs/>
          <w:sz w:val="22"/>
          <w:szCs w:val="22"/>
        </w:rPr>
        <w:t xml:space="preserve"> przyznawanej przedsiębiorstwom wykonującym usługi świadczone w ogólnym interesie gospodarczym (Dz. Urz. L 114/8 z 26.4.2012)</w:t>
      </w:r>
      <w:r w:rsidRPr="00DD0783">
        <w:rPr>
          <w:rFonts w:asciiTheme="minorHAnsi" w:hAnsiTheme="minorHAnsi"/>
          <w:sz w:val="22"/>
          <w:szCs w:val="22"/>
        </w:rPr>
        <w:t xml:space="preserve">. </w:t>
      </w:r>
    </w:p>
    <w:p w14:paraId="6375B452" w14:textId="77777777" w:rsidR="008F7051" w:rsidRDefault="0048731C" w:rsidP="00E71C56">
      <w:pPr>
        <w:pStyle w:val="Default"/>
        <w:numPr>
          <w:ilvl w:val="0"/>
          <w:numId w:val="1"/>
        </w:numPr>
        <w:ind w:left="283" w:hanging="425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Warunki i procedury pomniejszania wydatków kwalifikowalnych o dochód wygenerowany po zakończeniu projektu są określone w wytycznych ministra właściwego do spraw rozwoju regionalnego w zakresie zagadnień związanych z przygotowaniem projektów inwestycyjnych, w</w:t>
      </w:r>
      <w:r w:rsidR="00B73188" w:rsidRPr="00DD0783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>tym projektów generujących dochód i projektów hybrydowych na lata 2014-2020.</w:t>
      </w:r>
    </w:p>
    <w:p w14:paraId="35939438" w14:textId="77777777" w:rsidR="00C2714F" w:rsidRPr="00BF2CA2" w:rsidRDefault="00C2714F" w:rsidP="00C2714F">
      <w:pPr>
        <w:pStyle w:val="Default"/>
        <w:numPr>
          <w:ilvl w:val="0"/>
          <w:numId w:val="1"/>
        </w:numPr>
        <w:ind w:left="283" w:hanging="425"/>
        <w:jc w:val="both"/>
        <w:rPr>
          <w:rFonts w:asciiTheme="minorHAnsi" w:hAnsiTheme="minorHAnsi"/>
          <w:sz w:val="22"/>
          <w:szCs w:val="22"/>
        </w:rPr>
      </w:pPr>
      <w:bookmarkStart w:id="6" w:name="_Hlk2686586"/>
      <w:r w:rsidRPr="0008084D">
        <w:rPr>
          <w:rFonts w:asciiTheme="minorHAnsi" w:hAnsiTheme="minorHAnsi"/>
          <w:sz w:val="22"/>
          <w:szCs w:val="22"/>
        </w:rPr>
        <w:t xml:space="preserve">Dopuszczalność </w:t>
      </w:r>
      <w:r>
        <w:rPr>
          <w:rFonts w:asciiTheme="minorHAnsi" w:hAnsiTheme="minorHAnsi"/>
          <w:sz w:val="22"/>
          <w:szCs w:val="22"/>
        </w:rPr>
        <w:t>oraz</w:t>
      </w:r>
      <w:r w:rsidRPr="000808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warunki</w:t>
      </w:r>
      <w:r w:rsidRPr="000808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zastosowania </w:t>
      </w:r>
      <w:r w:rsidRPr="0008084D">
        <w:rPr>
          <w:rFonts w:asciiTheme="minorHAnsi" w:hAnsiTheme="minorHAnsi"/>
          <w:sz w:val="22"/>
          <w:szCs w:val="22"/>
        </w:rPr>
        <w:t>uproszczonych metod rozliczania wydatków określa</w:t>
      </w:r>
      <w:r w:rsidR="00D96C9F">
        <w:rPr>
          <w:rFonts w:asciiTheme="minorHAnsi" w:hAnsiTheme="minorHAnsi"/>
          <w:sz w:val="22"/>
          <w:szCs w:val="22"/>
        </w:rPr>
        <w:t xml:space="preserve"> </w:t>
      </w:r>
      <w:r w:rsidR="00D20FA1">
        <w:rPr>
          <w:rFonts w:asciiTheme="minorHAnsi" w:hAnsiTheme="minorHAnsi"/>
          <w:sz w:val="22"/>
          <w:szCs w:val="22"/>
        </w:rPr>
        <w:t xml:space="preserve">każdorazowo </w:t>
      </w:r>
      <w:r w:rsidRPr="0008084D">
        <w:rPr>
          <w:rFonts w:asciiTheme="minorHAnsi" w:hAnsiTheme="minorHAnsi"/>
          <w:sz w:val="22"/>
          <w:szCs w:val="22"/>
        </w:rPr>
        <w:t>regulamin konkursu</w:t>
      </w:r>
      <w:bookmarkEnd w:id="6"/>
      <w:r w:rsidR="00AC4264">
        <w:rPr>
          <w:rFonts w:asciiTheme="minorHAnsi" w:hAnsiTheme="minorHAnsi"/>
          <w:sz w:val="22"/>
          <w:szCs w:val="22"/>
        </w:rPr>
        <w:t xml:space="preserve"> (lub odpowiednio </w:t>
      </w:r>
      <w:r w:rsidR="00D20FA1">
        <w:rPr>
          <w:rFonts w:asciiTheme="minorHAnsi" w:hAnsiTheme="minorHAnsi"/>
          <w:sz w:val="22"/>
          <w:szCs w:val="22"/>
        </w:rPr>
        <w:t>zasady ubiegania się o wsparcie w trybie pozakonkursowym</w:t>
      </w:r>
      <w:r w:rsidR="00AC4264">
        <w:rPr>
          <w:rFonts w:asciiTheme="minorHAnsi" w:hAnsiTheme="minorHAnsi"/>
          <w:sz w:val="22"/>
          <w:szCs w:val="22"/>
        </w:rPr>
        <w:t>)</w:t>
      </w:r>
      <w:r w:rsidR="00D20FA1">
        <w:rPr>
          <w:rFonts w:asciiTheme="minorHAnsi" w:hAnsiTheme="minorHAnsi"/>
          <w:sz w:val="22"/>
          <w:szCs w:val="22"/>
        </w:rPr>
        <w:t>.</w:t>
      </w:r>
    </w:p>
    <w:p w14:paraId="79A9E76E" w14:textId="77777777" w:rsidR="00C2714F" w:rsidRPr="00DD0783" w:rsidRDefault="00C2714F" w:rsidP="00C2714F">
      <w:pPr>
        <w:pStyle w:val="Default"/>
        <w:ind w:left="283"/>
        <w:jc w:val="both"/>
        <w:rPr>
          <w:rFonts w:asciiTheme="minorHAnsi" w:hAnsiTheme="minorHAnsi"/>
          <w:sz w:val="22"/>
          <w:szCs w:val="22"/>
        </w:rPr>
      </w:pPr>
    </w:p>
    <w:p w14:paraId="062064EB" w14:textId="77777777" w:rsidR="00013AFB" w:rsidRPr="00DD0783" w:rsidRDefault="00013AFB" w:rsidP="00013AFB">
      <w:pPr>
        <w:pStyle w:val="Default"/>
        <w:ind w:left="283"/>
        <w:jc w:val="both"/>
        <w:rPr>
          <w:rFonts w:asciiTheme="minorHAnsi" w:hAnsiTheme="minorHAnsi"/>
          <w:sz w:val="22"/>
          <w:szCs w:val="22"/>
        </w:rPr>
      </w:pPr>
    </w:p>
    <w:p w14:paraId="23CC4BE3" w14:textId="77777777" w:rsidR="005E77EA" w:rsidRPr="00DD0783" w:rsidRDefault="00AC4264" w:rsidP="00D46B9F">
      <w:pPr>
        <w:pStyle w:val="Default"/>
        <w:numPr>
          <w:ilvl w:val="0"/>
          <w:numId w:val="27"/>
        </w:numPr>
        <w:ind w:left="567"/>
        <w:jc w:val="center"/>
        <w:rPr>
          <w:rFonts w:asciiTheme="minorHAnsi" w:hAnsiTheme="minorHAnsi"/>
          <w:b/>
          <w:bCs/>
          <w:sz w:val="22"/>
          <w:szCs w:val="22"/>
        </w:rPr>
      </w:pPr>
      <w:r w:rsidRPr="00DD0783">
        <w:rPr>
          <w:rFonts w:asciiTheme="minorHAnsi" w:hAnsiTheme="minorHAnsi"/>
          <w:b/>
          <w:bCs/>
          <w:sz w:val="22"/>
          <w:szCs w:val="22"/>
        </w:rPr>
        <w:t>WYDATKI NIEKWALIFIKOWALNE</w:t>
      </w:r>
    </w:p>
    <w:p w14:paraId="6F880600" w14:textId="77777777" w:rsidR="00013AFB" w:rsidRPr="00DD0783" w:rsidRDefault="00013AFB" w:rsidP="00013AFB">
      <w:pPr>
        <w:pStyle w:val="Default"/>
        <w:ind w:left="567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05B133A" w14:textId="77777777" w:rsidR="00122E9E" w:rsidRPr="00DD0783" w:rsidRDefault="006740FC" w:rsidP="00122E9E">
      <w:pPr>
        <w:tabs>
          <w:tab w:val="left" w:pos="5330"/>
        </w:tabs>
        <w:spacing w:line="240" w:lineRule="auto"/>
        <w:jc w:val="both"/>
        <w:rPr>
          <w:b/>
        </w:rPr>
      </w:pPr>
      <w:r w:rsidRPr="00DD0783">
        <w:rPr>
          <w:b/>
        </w:rPr>
        <w:t>Niniejszy punkt</w:t>
      </w:r>
      <w:r w:rsidRPr="00DD0783">
        <w:rPr>
          <w:b/>
          <w:i/>
          <w:iCs/>
        </w:rPr>
        <w:t xml:space="preserve"> </w:t>
      </w:r>
      <w:r w:rsidRPr="00DD0783">
        <w:rPr>
          <w:b/>
        </w:rPr>
        <w:t xml:space="preserve">określa wydatki niekwalifikowalne finansowane z Europejskiego Funduszu Rozwoju Regionalnego w ramach Regionalnego Programu Operacyjnego Województwa Dolnośląskiego 2014-2020 – ogólne kategorie wydatków oraz szczegółowe zapisy </w:t>
      </w:r>
      <w:r w:rsidR="007F246F" w:rsidRPr="00DD0783">
        <w:rPr>
          <w:b/>
        </w:rPr>
        <w:t>dotyczące poszczególnych Działań</w:t>
      </w:r>
      <w:r w:rsidRPr="00DD0783">
        <w:rPr>
          <w:b/>
        </w:rPr>
        <w:t xml:space="preserve">. </w:t>
      </w:r>
    </w:p>
    <w:p w14:paraId="50FD8132" w14:textId="77777777" w:rsidR="007F246F" w:rsidRPr="00DD0783" w:rsidRDefault="007F246F" w:rsidP="00122E9E">
      <w:pPr>
        <w:tabs>
          <w:tab w:val="left" w:pos="5330"/>
        </w:tabs>
        <w:spacing w:line="240" w:lineRule="auto"/>
        <w:jc w:val="both"/>
      </w:pPr>
      <w:r w:rsidRPr="00DD0783">
        <w:rPr>
          <w:b/>
        </w:rPr>
        <w:lastRenderedPageBreak/>
        <w:t xml:space="preserve">Dla niektórych kategorii wydatków wskazano dodatkowo okres obowiązywania. Dotyczy to przypadków wprowadzenia danej kategorii wydatku, jej zmiany bądź usunięcia – w kolejnych wersjach dokumentu określającego kwalifikowalność wydatków w ramach RPO WD w zakresie </w:t>
      </w:r>
      <w:r w:rsidRPr="00C40B9D">
        <w:rPr>
          <w:b/>
        </w:rPr>
        <w:t>EFRR</w:t>
      </w:r>
      <w:r w:rsidR="00060332" w:rsidRPr="00C40B9D">
        <w:rPr>
          <w:rStyle w:val="Odwoanieprzypisudolnego"/>
          <w:b/>
        </w:rPr>
        <w:footnoteReference w:id="2"/>
      </w:r>
      <w:r w:rsidR="00060332" w:rsidRPr="00C40B9D">
        <w:rPr>
          <w:b/>
        </w:rPr>
        <w:t>.</w:t>
      </w:r>
      <w:r w:rsidRPr="00C40B9D">
        <w:rPr>
          <w:b/>
        </w:rPr>
        <w:t xml:space="preserve"> Wskazane w przypisach daty odnoszą się do momentu zatwierdzenia właściwej w</w:t>
      </w:r>
      <w:r w:rsidRPr="007D39F6">
        <w:rPr>
          <w:b/>
        </w:rPr>
        <w:t>ersji ww. dokumentu – wprowadzającej, zmieniającej bądź znoszącej określone zapisy</w:t>
      </w:r>
      <w:r w:rsidRPr="007D39F6">
        <w:t>.</w:t>
      </w:r>
    </w:p>
    <w:p w14:paraId="28522EF0" w14:textId="77777777" w:rsidR="007668E1" w:rsidRDefault="000D0455" w:rsidP="003A2CB6">
      <w:pPr>
        <w:jc w:val="both"/>
      </w:pPr>
      <w:r w:rsidRPr="00DD0783">
        <w:t xml:space="preserve">Jeśli nie wskazano inaczej, określone w niniejszym dokumencie limity dla poszczególnych kategorii wydatków weryfikowane są </w:t>
      </w:r>
      <w:r w:rsidR="00530FE3" w:rsidRPr="00DD0783">
        <w:t xml:space="preserve">na etapie oceny wniosku o dofinansowanie, </w:t>
      </w:r>
      <w:r w:rsidR="00A658F6" w:rsidRPr="00DD0783">
        <w:t>w trakcie realizacji projektu (poprzez weryfikację wniosków o płatność oraz w trakcie kontroli projektu), jak i po</w:t>
      </w:r>
      <w:r w:rsidR="00BE1B38" w:rsidRPr="00DD0783">
        <w:t xml:space="preserve"> jego</w:t>
      </w:r>
      <w:r w:rsidR="00A658F6" w:rsidRPr="00DD0783">
        <w:t xml:space="preserve"> zakończeniu w zakresie obowiązków nałożonych na Beneficjenta umową o dofinansowanie oraz wynikających z</w:t>
      </w:r>
      <w:r w:rsidR="007668E1">
        <w:t> </w:t>
      </w:r>
      <w:r w:rsidR="00A658F6" w:rsidRPr="00DD0783">
        <w:t>przepisów prawa.</w:t>
      </w:r>
    </w:p>
    <w:p w14:paraId="73DF6382" w14:textId="77777777" w:rsidR="00A23F33" w:rsidRPr="00DD0783" w:rsidRDefault="00474CDD" w:rsidP="003C3DD4">
      <w:pPr>
        <w:jc w:val="center"/>
        <w:rPr>
          <w:b/>
        </w:rPr>
      </w:pPr>
      <w:r w:rsidRPr="00DD0783">
        <w:rPr>
          <w:b/>
        </w:rPr>
        <w:t>3</w:t>
      </w:r>
      <w:r w:rsidR="00A23F33" w:rsidRPr="00DD0783">
        <w:rPr>
          <w:b/>
        </w:rPr>
        <w:t xml:space="preserve">.1 Ogólne kategorie wydatków mające zastosowanie dla </w:t>
      </w:r>
      <w:r w:rsidR="00C34307" w:rsidRPr="00DD0783">
        <w:rPr>
          <w:b/>
        </w:rPr>
        <w:t>O</w:t>
      </w:r>
      <w:r w:rsidR="00A23F33" w:rsidRPr="00DD0783">
        <w:rPr>
          <w:b/>
        </w:rPr>
        <w:t>si priorytetowych 1</w:t>
      </w:r>
      <w:r w:rsidR="00013AFB" w:rsidRPr="00DD0783">
        <w:rPr>
          <w:b/>
        </w:rPr>
        <w:t xml:space="preserve"> – </w:t>
      </w:r>
      <w:r w:rsidR="00A23F33" w:rsidRPr="00DD0783">
        <w:rPr>
          <w:b/>
        </w:rPr>
        <w:t>7 z wył</w:t>
      </w:r>
      <w:r w:rsidR="003A2CB6" w:rsidRPr="00DD0783">
        <w:rPr>
          <w:b/>
        </w:rPr>
        <w:t xml:space="preserve">ączeniem instrumentów </w:t>
      </w:r>
      <w:r w:rsidR="00DB22A0" w:rsidRPr="00DD0783">
        <w:rPr>
          <w:b/>
        </w:rPr>
        <w:t>finansowych</w:t>
      </w:r>
    </w:p>
    <w:p w14:paraId="5BF96684" w14:textId="77777777" w:rsidR="00A23F33" w:rsidRPr="00DD0783" w:rsidRDefault="00A23F33" w:rsidP="00A23F33">
      <w:pPr>
        <w:jc w:val="both"/>
      </w:pPr>
      <w:r w:rsidRPr="00DD0783">
        <w:t>Zwiększenie wysokości kosztów kwalifikowalnych w toku realizacji projektu przez Beneficjenta, niezależnie od przyczyny tego zwiększenia, nie stanowi dla Beneficjenta podstawy do roszczeń o</w:t>
      </w:r>
      <w:r w:rsidR="00B73188" w:rsidRPr="00DD0783">
        <w:t> </w:t>
      </w:r>
      <w:r w:rsidRPr="00DD0783">
        <w:t>zwiększenie kwoty dofinansowania przyznanego w umowie</w:t>
      </w:r>
      <w:r w:rsidRPr="00DD0783">
        <w:rPr>
          <w:rStyle w:val="Odwoanieprzypisudolnego"/>
        </w:rPr>
        <w:footnoteReference w:id="3"/>
      </w:r>
      <w:r w:rsidRPr="00DD0783">
        <w:t xml:space="preserve"> o dofinansowanie projektu. Wniosek o</w:t>
      </w:r>
      <w:r w:rsidR="00B73188" w:rsidRPr="00DD0783">
        <w:t> </w:t>
      </w:r>
      <w:r w:rsidRPr="00DD0783">
        <w:t>zwiększenie dofinansowania jest rozpatrywany indywidualnie dla każdego przypadku, a podejmując decyzję właściwa instytucja bierze pod uwagę również dostępność środków w ramach danego Działania/Poddziałania/Osi priorytetowej.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6"/>
        <w:gridCol w:w="6456"/>
      </w:tblGrid>
      <w:tr w:rsidR="00A23F33" w:rsidRPr="00DD0783" w14:paraId="6FB69782" w14:textId="77777777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9DEAC33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RODZAJ WYDATKU</w:t>
            </w:r>
          </w:p>
        </w:tc>
        <w:tc>
          <w:tcPr>
            <w:tcW w:w="3562" w:type="pct"/>
            <w:vAlign w:val="center"/>
          </w:tcPr>
          <w:p w14:paraId="3E80D6A0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NIEKWALIFIKOWALNE</w:t>
            </w:r>
          </w:p>
        </w:tc>
      </w:tr>
      <w:tr w:rsidR="00A23F33" w:rsidRPr="00DD0783" w14:paraId="7E4C64BE" w14:textId="77777777" w:rsidTr="009A053B">
        <w:tc>
          <w:tcPr>
            <w:tcW w:w="1438" w:type="pct"/>
            <w:shd w:val="clear" w:color="auto" w:fill="99CCFF"/>
            <w:vAlign w:val="center"/>
          </w:tcPr>
          <w:p w14:paraId="4ADF38D5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Zasięg terytorialny</w:t>
            </w:r>
          </w:p>
        </w:tc>
        <w:tc>
          <w:tcPr>
            <w:tcW w:w="3562" w:type="pct"/>
            <w:vAlign w:val="center"/>
          </w:tcPr>
          <w:p w14:paraId="70941EB7" w14:textId="77777777" w:rsidR="00A23F33" w:rsidRPr="00DD0783" w:rsidRDefault="00A23F33" w:rsidP="00D44C8D">
            <w:pPr>
              <w:spacing w:before="120" w:after="120" w:line="240" w:lineRule="auto"/>
              <w:jc w:val="both"/>
              <w:rPr>
                <w:b/>
                <w:bCs/>
              </w:rPr>
            </w:pPr>
            <w:r w:rsidRPr="00DD0783">
              <w:rPr>
                <w:b/>
                <w:bCs/>
              </w:rPr>
              <w:t>Kwalifikowalność projektów:</w:t>
            </w:r>
          </w:p>
          <w:p w14:paraId="7D6B3C6D" w14:textId="77777777" w:rsidR="00A23F33" w:rsidRPr="00DD0783" w:rsidRDefault="00A23F33" w:rsidP="00D44C8D">
            <w:pPr>
              <w:spacing w:before="120" w:after="120" w:line="240" w:lineRule="auto"/>
              <w:jc w:val="both"/>
              <w:rPr>
                <w:bCs/>
              </w:rPr>
            </w:pPr>
            <w:r w:rsidRPr="00DD0783">
              <w:rPr>
                <w:bCs/>
              </w:rPr>
              <w:t>Projekt współfinansowany z EFRR w ramach RPO WD 2014-2020 musi być realizowany w granicach administracyjnych województwa dolnośląskiego (poziom NUTS 2).</w:t>
            </w:r>
          </w:p>
          <w:p w14:paraId="15FA1BCF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Reguła ta nie ma zastosowania w przypadku Działania 1.4 Internacjonalizacja przedsiębiorstw – projekty, których celem jest promocja, Działania 4.1 Gospodarka odpadami oraz Działania 5.2 System transportu kolejowego, zasady realizacji których zapisano bezpośrednio w RPO WD 2014-2020.</w:t>
            </w:r>
          </w:p>
          <w:p w14:paraId="37099191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rPr>
                <w:b/>
                <w:bCs/>
              </w:rPr>
              <w:t>Kwalifikowalność wydatków:</w:t>
            </w:r>
          </w:p>
          <w:p w14:paraId="05223874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Niekwalifikowalne są wydatki poniesione na projekt realizowany poza granicami administracyjnymi województwa dolnośląskiego (poziom NUTS 2). Reguła ta nie ma zastosowania w przypadku Działania 1.4 Internacjonalizacja przedsiębiorstw, projekty, których celem jest promocja, Działania 4.1 Gospodarka odpadami, Działania 5.1 Drogowa dostępność transportowa oraz Działania 5.2 System transportu </w:t>
            </w:r>
            <w:r w:rsidRPr="00DD0783">
              <w:lastRenderedPageBreak/>
              <w:t xml:space="preserve">kolejowego, zasady realizacji których zapisano bezpośrednio w RPO WD 2014 – 2020. </w:t>
            </w:r>
          </w:p>
          <w:p w14:paraId="0CDC6647" w14:textId="79E8258F" w:rsidR="00A23F33" w:rsidRPr="00DD0783" w:rsidRDefault="00A23F33" w:rsidP="00A46F45">
            <w:pPr>
              <w:spacing w:before="120" w:after="120" w:line="240" w:lineRule="auto"/>
              <w:jc w:val="both"/>
            </w:pPr>
            <w:r w:rsidRPr="00DD0783">
              <w:t>W przypadku przedsiębiorców niekwalifikowalne są wydatki poniesione przez Wnioskodawców nie posiadających co najmniej zakładu lub oddziału w granicach administracyjnych województwa dolnośląskiego przynajmniej od momentu wypłaty pomocy do zakończenia okresu trwałości projektu.</w:t>
            </w:r>
          </w:p>
        </w:tc>
      </w:tr>
      <w:tr w:rsidR="00A23F33" w:rsidRPr="00DD0783" w14:paraId="32102464" w14:textId="77777777" w:rsidTr="009A053B">
        <w:tc>
          <w:tcPr>
            <w:tcW w:w="1438" w:type="pct"/>
            <w:shd w:val="clear" w:color="auto" w:fill="99CCFF"/>
            <w:vAlign w:val="center"/>
          </w:tcPr>
          <w:p w14:paraId="53C1BAA5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Ramy czasowe kwalifikowalności/pomoc publiczna</w:t>
            </w:r>
          </w:p>
        </w:tc>
        <w:tc>
          <w:tcPr>
            <w:tcW w:w="3562" w:type="pct"/>
            <w:vAlign w:val="center"/>
          </w:tcPr>
          <w:p w14:paraId="4A221BE4" w14:textId="77777777" w:rsidR="00A23F33" w:rsidRPr="00DD0783" w:rsidRDefault="00A23F33" w:rsidP="00D44C8D">
            <w:pPr>
              <w:spacing w:before="120" w:after="120" w:line="240" w:lineRule="auto"/>
            </w:pPr>
            <w:r w:rsidRPr="00DD0783">
              <w:t>Wydatki poniesione:</w:t>
            </w:r>
          </w:p>
          <w:p w14:paraId="1994CC67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przed 1 stycznia 2014 r.;</w:t>
            </w:r>
          </w:p>
          <w:p w14:paraId="7C724556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 xml:space="preserve">po 31 grudnia 2023 r. (na poziomie Programu) oraz </w:t>
            </w:r>
            <w:r w:rsidRPr="00DD0783">
              <w:br/>
              <w:t>w terminie niezgodnym z umową o dofinansowanie projektu;</w:t>
            </w:r>
          </w:p>
          <w:p w14:paraId="46DADDBE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niezgodnie z terminami określonymi w programach pomocowych lub aktach prawnych.</w:t>
            </w:r>
          </w:p>
          <w:p w14:paraId="55799245" w14:textId="03003576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Faktyczny okres kwalifikowania wydatków dla danego projektu zostanie określony w umowie o dofinansowanie projektu, która określi zarówno początkową, jak i końcową datę kwalifikowalności wydatków. Wydatki poniesione po okresie kwalifikowalności określonym w</w:t>
            </w:r>
            <w:r w:rsidR="005A2D3C">
              <w:t> </w:t>
            </w:r>
            <w:r w:rsidRPr="00DD0783">
              <w:t>umowie stanowią wydatki niekwalifikowalne.</w:t>
            </w:r>
          </w:p>
          <w:p w14:paraId="33ED4F83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Okres realizacji projektu określony w umowie nie może wykraczać poza daty graniczne wyżej określone.</w:t>
            </w:r>
          </w:p>
        </w:tc>
      </w:tr>
      <w:tr w:rsidR="00A23F33" w:rsidRPr="00DD0783" w14:paraId="45C348C2" w14:textId="77777777" w:rsidTr="009A053B">
        <w:tc>
          <w:tcPr>
            <w:tcW w:w="1438" w:type="pct"/>
            <w:shd w:val="clear" w:color="auto" w:fill="99CCFF"/>
            <w:vAlign w:val="center"/>
          </w:tcPr>
          <w:p w14:paraId="3050D4F7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Przygotowanie dokumentacji projektu</w:t>
            </w:r>
          </w:p>
        </w:tc>
        <w:tc>
          <w:tcPr>
            <w:tcW w:w="3562" w:type="pct"/>
            <w:vAlign w:val="center"/>
          </w:tcPr>
          <w:p w14:paraId="2806C9E5" w14:textId="3A0F9C3A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Wydatki na przygotowanie dokumentacji projektu (wymaganej prawem krajowym lub wspólnotowym bądź przez IZ RPO WD) przekraczające 8% wartości całkowitych wydatków kwalifikowalnych projektu. Limit ten weryfikowany jest jednorazowo na etapie oceny wniosku o</w:t>
            </w:r>
            <w:r w:rsidR="003B2988" w:rsidRPr="00DD0783">
              <w:t> </w:t>
            </w:r>
            <w:r w:rsidRPr="00DD0783">
              <w:t>dofinansowanie. Wydatki poniesione na dokumenty o</w:t>
            </w:r>
            <w:r w:rsidR="005A2D3C">
              <w:t> </w:t>
            </w:r>
            <w:r w:rsidRPr="00DD0783">
              <w:t xml:space="preserve">charakterze planistycznym, takie jak Lokalny Plan Rewitalizacji czy Program Gospodarki Niskoemisyjnej, nie mogą stanowić kosztów kwalifikowalnych w projekcie. </w:t>
            </w:r>
          </w:p>
          <w:p w14:paraId="277C1894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Ograniczenie procentowe nie dotyczy projektów grantowych,  </w:t>
            </w:r>
            <w:r w:rsidRPr="00DD0783">
              <w:rPr>
                <w:u w:val="single"/>
              </w:rPr>
              <w:t>dla których stosowne uregulowania znajdą się w regulaminach konkursów</w:t>
            </w:r>
            <w:r w:rsidRPr="00DD0783">
              <w:t>.</w:t>
            </w:r>
          </w:p>
          <w:p w14:paraId="5EC7BD0E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Wydatkiem kwalifikowalnym może być w szczególności wydatek poniesiony na </w:t>
            </w:r>
            <w:r w:rsidRPr="00DD0783">
              <w:rPr>
                <w:b/>
              </w:rPr>
              <w:t>opracowanie</w:t>
            </w:r>
            <w:r w:rsidRPr="00DD0783">
              <w:t xml:space="preserve"> dokumentacji związanej </w:t>
            </w:r>
            <w:r w:rsidRPr="00DD0783">
              <w:br/>
              <w:t>z przygotowaniem projektu:</w:t>
            </w:r>
          </w:p>
          <w:p w14:paraId="2FACB361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28" w:hanging="328"/>
            </w:pPr>
            <w:r w:rsidRPr="00DD0783">
              <w:t>biznesplanu, studium wykonalności (w przypadku, gdy ten sam wykonawca będzie w ramach jednego zamówienia opracowywał również niekwalifikowalną dokumentację projektową, np. formularz wniosku o dofinansowanie/wniosek o potwierdzenie wkładu finansowego w przypadku projektów dużych, warunkiem kwalifikowalności biznesplanu/studium wykonalności będzie rozbicie w umowie z tymże wykonawcą kosztów na dokumentację kwalifikowalną oraz niekwalifikowalną. Ww. rozbicie kosztów należy również zastosować na etapie rozliczania, tj. na fakturze lub innym dokumencie księgowym o równoważnej wartości dowodowej);</w:t>
            </w:r>
          </w:p>
          <w:p w14:paraId="0F6A5C4B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mapy lub szkiców sytuujących projekt;</w:t>
            </w:r>
          </w:p>
          <w:p w14:paraId="7E636ABB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lastRenderedPageBreak/>
              <w:t>innej dokumentacji technicznej lub finansowej niezbędnej do realizacji projektu (np. projekt budowlany, raport oddziaływania na środowisko, ekspertyzy).</w:t>
            </w:r>
          </w:p>
          <w:p w14:paraId="47027EB2" w14:textId="77777777" w:rsidR="00A23F33" w:rsidRPr="00DD0783" w:rsidRDefault="00A23F33" w:rsidP="003B2988">
            <w:pPr>
              <w:spacing w:before="120" w:after="120" w:line="240" w:lineRule="auto"/>
              <w:jc w:val="both"/>
            </w:pPr>
            <w:r w:rsidRPr="00DD0783">
              <w:t xml:space="preserve">Niekwalifikowalne są wydatki na </w:t>
            </w:r>
            <w:r w:rsidRPr="00DD0783">
              <w:rPr>
                <w:b/>
              </w:rPr>
              <w:t>wypełnienie</w:t>
            </w:r>
            <w:r w:rsidRPr="00DD0783">
              <w:t xml:space="preserve"> formularza wniosku o</w:t>
            </w:r>
            <w:r w:rsidR="003B2988" w:rsidRPr="00DD0783">
              <w:t> </w:t>
            </w:r>
            <w:r w:rsidRPr="00DD0783">
              <w:t>dofinansowania oraz wniosku o potwierdzenie wkładu finansowego w</w:t>
            </w:r>
            <w:r w:rsidR="003B2988" w:rsidRPr="00DD0783">
              <w:t> </w:t>
            </w:r>
            <w:r w:rsidRPr="00DD0783">
              <w:t>przypadku dużych projektów.</w:t>
            </w:r>
          </w:p>
        </w:tc>
      </w:tr>
      <w:tr w:rsidR="00A23F33" w:rsidRPr="00DD0783" w14:paraId="6A53DCFF" w14:textId="77777777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FCB0900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VAT</w:t>
            </w:r>
          </w:p>
        </w:tc>
        <w:tc>
          <w:tcPr>
            <w:tcW w:w="3562" w:type="pct"/>
            <w:vAlign w:val="center"/>
          </w:tcPr>
          <w:p w14:paraId="5B252CA0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Podatek VAT, który może być odzyskany na podstawie przepisów krajowych stanowi wydatek niekwalifikowalny.</w:t>
            </w:r>
          </w:p>
          <w:p w14:paraId="3C2DD80F" w14:textId="03E924EF" w:rsidR="00D45B3E" w:rsidRDefault="00931174" w:rsidP="003B2988">
            <w:pPr>
              <w:spacing w:before="120" w:after="120" w:line="240" w:lineRule="auto"/>
              <w:jc w:val="both"/>
            </w:pPr>
            <w:r>
              <w:t>P</w:t>
            </w:r>
            <w:r w:rsidR="00D45B3E" w:rsidRPr="00DD0783">
              <w:t>odatek VAT w stosunku do wydatków, dla których podatek ten odlicza</w:t>
            </w:r>
            <w:r w:rsidR="00D45B3E">
              <w:t>ny jest</w:t>
            </w:r>
            <w:r w:rsidR="00D45B3E" w:rsidRPr="00DD0783">
              <w:t xml:space="preserve"> częściowo na podstawie art. 86</w:t>
            </w:r>
            <w:r w:rsidR="008E3EF3">
              <w:t xml:space="preserve"> ust. 2a</w:t>
            </w:r>
            <w:r w:rsidR="00D45B3E" w:rsidRPr="00DD0783">
              <w:t>/art. 90</w:t>
            </w:r>
            <w:r w:rsidR="008E3EF3">
              <w:t xml:space="preserve"> ust. 2</w:t>
            </w:r>
            <w:r w:rsidR="00D45B3E" w:rsidRPr="00DD0783">
              <w:t xml:space="preserve"> ustawy </w:t>
            </w:r>
            <w:r w:rsidR="00A30802" w:rsidRPr="00A30802">
              <w:t>z dnia 11 marca 2004 r.</w:t>
            </w:r>
            <w:r w:rsidR="00A30802">
              <w:t xml:space="preserve"> </w:t>
            </w:r>
            <w:r w:rsidR="00A30802" w:rsidRPr="002A3D4D">
              <w:rPr>
                <w:bCs/>
              </w:rPr>
              <w:t>o podatku od towarów i usług</w:t>
            </w:r>
            <w:r w:rsidR="00A30802">
              <w:rPr>
                <w:bCs/>
              </w:rPr>
              <w:t xml:space="preserve">, </w:t>
            </w:r>
            <w:r w:rsidR="00D45B3E" w:rsidRPr="00DD0783">
              <w:t>jest</w:t>
            </w:r>
            <w:r w:rsidR="00D45B3E">
              <w:t xml:space="preserve"> w</w:t>
            </w:r>
            <w:r w:rsidR="005A2D3C">
              <w:t> </w:t>
            </w:r>
            <w:r w:rsidR="00D45B3E">
              <w:t>całości</w:t>
            </w:r>
            <w:r w:rsidR="00D45B3E" w:rsidRPr="00DD0783">
              <w:t xml:space="preserve"> </w:t>
            </w:r>
            <w:r w:rsidR="00D45B3E">
              <w:t>nie</w:t>
            </w:r>
            <w:r w:rsidR="00D45B3E" w:rsidRPr="00DD0783">
              <w:t>kwalifikowalny</w:t>
            </w:r>
            <w:r w:rsidR="00D45B3E">
              <w:t>.</w:t>
            </w:r>
          </w:p>
          <w:p w14:paraId="45C67A6F" w14:textId="77777777" w:rsidR="008E3EF3" w:rsidRPr="00DD0783" w:rsidRDefault="008E3EF3" w:rsidP="003B2988">
            <w:pPr>
              <w:spacing w:before="120" w:after="120" w:line="240" w:lineRule="auto"/>
              <w:jc w:val="both"/>
            </w:pPr>
            <w:r w:rsidRPr="001B7507">
              <w:t>W przypadku kwalifikowalnego podatku VAT w projekcie Beneficjent jest zobligowany ustanowić przejrzysty system ewidencjonowania tego podatku, tak aby był w stanie udowodnić w sposób niebudzący wątpliwości, że podatek VAT w projekcie może być kwalifikowalny.</w:t>
            </w:r>
          </w:p>
        </w:tc>
      </w:tr>
      <w:tr w:rsidR="00300834" w:rsidRPr="00DD0783" w14:paraId="1D2698F6" w14:textId="77777777" w:rsidTr="009A053B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E521953" w14:textId="77777777" w:rsidR="00300834" w:rsidRPr="00DD0783" w:rsidRDefault="00300834" w:rsidP="0002135C">
            <w:pPr>
              <w:spacing w:before="120" w:after="120" w:line="240" w:lineRule="auto"/>
              <w:jc w:val="center"/>
              <w:rPr>
                <w:b/>
                <w:highlight w:val="yellow"/>
              </w:rPr>
            </w:pPr>
            <w:r w:rsidRPr="00DD0783">
              <w:rPr>
                <w:b/>
              </w:rPr>
              <w:t>Wkład niepieniężny</w:t>
            </w:r>
          </w:p>
        </w:tc>
        <w:tc>
          <w:tcPr>
            <w:tcW w:w="3562" w:type="pct"/>
            <w:vAlign w:val="center"/>
          </w:tcPr>
          <w:p w14:paraId="1EA25434" w14:textId="77777777" w:rsidR="00A055C8" w:rsidRPr="00DD0783" w:rsidRDefault="00A055C8" w:rsidP="00D44C8D">
            <w:pPr>
              <w:spacing w:before="120" w:after="120" w:line="240" w:lineRule="auto"/>
              <w:jc w:val="both"/>
            </w:pPr>
            <w:r w:rsidRPr="00DD0783">
              <w:t>Niekwalifikowalnym jest</w:t>
            </w:r>
            <w:r w:rsidR="00A2094C" w:rsidRPr="00DD0783">
              <w:t xml:space="preserve"> wkład niepieniężny</w:t>
            </w:r>
            <w:r w:rsidR="00894767" w:rsidRPr="00DD0783">
              <w:t xml:space="preserve">: </w:t>
            </w:r>
          </w:p>
          <w:p w14:paraId="54851A91" w14:textId="77777777" w:rsidR="00A055C8" w:rsidRPr="00DD0783" w:rsidRDefault="00894767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stanowiący wkład niepieniężny w innym projekcie</w:t>
            </w:r>
            <w:r w:rsidR="00AE3F41" w:rsidRPr="00DD0783">
              <w:t>;</w:t>
            </w:r>
            <w:r w:rsidRPr="00DD0783">
              <w:t xml:space="preserve"> </w:t>
            </w:r>
          </w:p>
          <w:p w14:paraId="1159180D" w14:textId="77777777" w:rsidR="00894767" w:rsidRPr="00DD0783" w:rsidRDefault="00894767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 xml:space="preserve">w przypadku którego Wnioskodawca/Beneficjent nie udowodni, że w wyniku wniesienia do projektu dóbr stanowiących </w:t>
            </w:r>
            <w:r w:rsidR="00A2094C" w:rsidRPr="00DD0783">
              <w:t xml:space="preserve">ten </w:t>
            </w:r>
            <w:r w:rsidRPr="00DD0783">
              <w:t xml:space="preserve">wkład utraci możliwość ich wykorzystywania w dotychczasowy sposób. </w:t>
            </w:r>
            <w:r w:rsidR="00A2094C" w:rsidRPr="00DD0783">
              <w:br/>
            </w:r>
            <w:r w:rsidRPr="00DD0783">
              <w:t>W uzasadnionych przypadkach IZ RPO WD</w:t>
            </w:r>
            <w:r w:rsidR="00776AD7" w:rsidRPr="00DD0783">
              <w:t>/IP RPO WD</w:t>
            </w:r>
            <w:r w:rsidRPr="00DD0783">
              <w:t xml:space="preserve"> może odstąpić od konieczności zachowania powyższej zasady, o ile Wnioskodawca przedstawi ekonomiczne uzasadnienie proponowanego rozwiązania i uzasadnienie to zostanie zaakceptowane przez IZ RPO WD</w:t>
            </w:r>
            <w:r w:rsidR="00776AD7" w:rsidRPr="00DD0783">
              <w:t>/IP RPO WD</w:t>
            </w:r>
            <w:r w:rsidR="00AE3F41" w:rsidRPr="00DD0783">
              <w:t>;</w:t>
            </w:r>
          </w:p>
          <w:p w14:paraId="21FC695D" w14:textId="77777777" w:rsidR="00894767" w:rsidRPr="00DD0783" w:rsidRDefault="00A2094C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który nie został wyceniony przez uprawniony i niezależny od Beneficjenta podmiot, zgodnie z obowiązującym w tym zakresie prawem (nie dotyczy pracy wolontariusza)</w:t>
            </w:r>
            <w:r w:rsidR="00AE3F41" w:rsidRPr="00DD0783">
              <w:t>;</w:t>
            </w:r>
          </w:p>
          <w:p w14:paraId="6B62E8ED" w14:textId="77777777" w:rsidR="00A2094C" w:rsidRPr="00DD0783" w:rsidRDefault="00A2094C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dla którego Wnioskodawca/Beneficjent nie przedstawi aktualnej wyceny/operatu szacunkowego</w:t>
            </w:r>
            <w:r w:rsidR="00AE3F41" w:rsidRPr="00DD0783">
              <w:t>;</w:t>
            </w:r>
          </w:p>
          <w:p w14:paraId="4C8ECBA0" w14:textId="77777777" w:rsidR="00A2094C" w:rsidRPr="00DD0783" w:rsidRDefault="00D57423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którego wartość nie znajdzie odzwierciedlenia w księgach rachunkowych/wyodrębnionej dla projektu ewidencji</w:t>
            </w:r>
            <w:r w:rsidR="00A2094C" w:rsidRPr="00DD0783">
              <w:t xml:space="preserve">. </w:t>
            </w:r>
            <w:r w:rsidR="00E7606F" w:rsidRPr="00DD0783">
              <w:br/>
            </w:r>
            <w:r w:rsidR="00A2094C" w:rsidRPr="00DD0783">
              <w:t xml:space="preserve">W przypadku, gdy dowód księgowy będzie opiewał na wartość niższą, niż wniesiony do projektu wkład niepieniężny – wkład niepieniężny będzie rozliczony do wysokości wynikającej z dowodu księgowego, chyba że aktualna wartość rynkowa potwierdzona operatem/wyceną jest niższa, niż ta widniejąca na dowodzie księgowym </w:t>
            </w:r>
            <w:r w:rsidR="00F147DD" w:rsidRPr="00DD0783">
              <w:t>–</w:t>
            </w:r>
            <w:r w:rsidR="00A2094C" w:rsidRPr="00DD0783">
              <w:t xml:space="preserve"> wówczas wkład niepieniężny będzie mógł być rozliczony do wysokości wskazanej w operacie szacunkowym/ wycenie.</w:t>
            </w:r>
          </w:p>
        </w:tc>
      </w:tr>
      <w:tr w:rsidR="00A23F33" w:rsidRPr="00DD0783" w14:paraId="482D22B8" w14:textId="77777777" w:rsidTr="009A053B">
        <w:tc>
          <w:tcPr>
            <w:tcW w:w="1438" w:type="pct"/>
            <w:shd w:val="clear" w:color="auto" w:fill="99CCFF"/>
            <w:vAlign w:val="center"/>
          </w:tcPr>
          <w:p w14:paraId="6CC6D50E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na ubezpieczenie nieobowiązkowe</w:t>
            </w:r>
          </w:p>
        </w:tc>
        <w:tc>
          <w:tcPr>
            <w:tcW w:w="3562" w:type="pct"/>
            <w:vAlign w:val="center"/>
          </w:tcPr>
          <w:p w14:paraId="22E86310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Wydatki na ubezpieczenia nieobowiązkowe stanowią wydatek niekwalifikowalny. </w:t>
            </w:r>
          </w:p>
        </w:tc>
      </w:tr>
      <w:tr w:rsidR="00763C29" w:rsidRPr="00DD0783" w14:paraId="041B6EEE" w14:textId="77777777" w:rsidTr="00763C29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699D8BF" w14:textId="77777777" w:rsidR="00763C29" w:rsidRPr="00DD0783" w:rsidRDefault="00763C29" w:rsidP="00763C29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Wydatki poniesione na dodatkowe zabezpieczenie zaliczki</w:t>
            </w:r>
            <w:r w:rsidRPr="00DD0783">
              <w:rPr>
                <w:rStyle w:val="Odwoanieprzypisudolnego"/>
                <w:b/>
              </w:rPr>
              <w:footnoteReference w:id="4"/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BA14" w14:textId="77777777" w:rsidR="00763C29" w:rsidRPr="00DD0783" w:rsidRDefault="00763C29" w:rsidP="00013AFB">
            <w:pPr>
              <w:spacing w:before="120" w:after="120" w:line="240" w:lineRule="auto"/>
              <w:jc w:val="both"/>
            </w:pPr>
            <w:r w:rsidRPr="00DD0783">
              <w:t xml:space="preserve">Wydatki poniesione na ustanowienie i wniesienie dodatkowego zabezpieczenia zaliczki są niekwalifikowalne z zastrzeżeniem poniższych zapisów. W ramach projektu grantowego kwalifikowalne są wydatki związane z jednokrotnym wniesieniem (w jednej lub kilku formach) przez Beneficjenta (Grantodawcę) dodatkowego zabezpieczenia zaliczki. Koszt aktualizacji w/w zabezpieczenia w projekcie grantowym jest wydatkiem niekwalifikowalnym, chyba, że konieczność jej dokonania wynika z przyczyn niezależnych od beneficjenta, a i IZ RPO WD/IP wyraziła zgodę na kwalifikowalność tego wydatku. </w:t>
            </w:r>
          </w:p>
        </w:tc>
      </w:tr>
      <w:tr w:rsidR="00A23F33" w:rsidRPr="00DD0783" w14:paraId="07AFB5C3" w14:textId="77777777" w:rsidTr="009A053B">
        <w:tc>
          <w:tcPr>
            <w:tcW w:w="1438" w:type="pct"/>
            <w:shd w:val="clear" w:color="auto" w:fill="99CCFF"/>
            <w:vAlign w:val="center"/>
          </w:tcPr>
          <w:p w14:paraId="2B7B55E3" w14:textId="223A905C" w:rsidR="00A23F33" w:rsidRPr="00DD0783" w:rsidRDefault="00A23F33" w:rsidP="001D03FF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związane z</w:t>
            </w:r>
            <w:r w:rsidR="002E2DC5" w:rsidRPr="00DD0783">
              <w:rPr>
                <w:b/>
              </w:rPr>
              <w:t> </w:t>
            </w:r>
            <w:r w:rsidRPr="00DD0783">
              <w:rPr>
                <w:b/>
              </w:rPr>
              <w:t>realizacją projektu</w:t>
            </w:r>
          </w:p>
        </w:tc>
        <w:tc>
          <w:tcPr>
            <w:tcW w:w="3562" w:type="pct"/>
            <w:vAlign w:val="center"/>
          </w:tcPr>
          <w:p w14:paraId="359AAC7F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Niekwalifikowalne są: </w:t>
            </w:r>
          </w:p>
          <w:p w14:paraId="09D86579" w14:textId="77777777" w:rsidR="00A23F33" w:rsidRPr="00DD0783" w:rsidRDefault="00A23F33" w:rsidP="00E71C56">
            <w:pPr>
              <w:numPr>
                <w:ilvl w:val="0"/>
                <w:numId w:val="24"/>
              </w:numPr>
              <w:spacing w:after="0" w:line="240" w:lineRule="auto"/>
            </w:pPr>
            <w:r w:rsidRPr="00DD0783">
              <w:t>wydatki na usługi w zakresie księgowości;</w:t>
            </w:r>
          </w:p>
          <w:p w14:paraId="4DB9848F" w14:textId="77777777" w:rsidR="00A23F33" w:rsidRPr="00DD0783" w:rsidRDefault="00A23F33" w:rsidP="00E71C56">
            <w:pPr>
              <w:numPr>
                <w:ilvl w:val="0"/>
                <w:numId w:val="24"/>
              </w:numPr>
              <w:spacing w:after="0" w:line="240" w:lineRule="auto"/>
            </w:pPr>
            <w:r w:rsidRPr="00DD0783">
              <w:t>wydatki na usługi w zakresie audytu, o ile ich poniesienie nie jest wymagane przez IZ RPO/IP RPO bądź nie wynika ze specyfiki projektu i nie jest wymagane przepisami prawa;</w:t>
            </w:r>
          </w:p>
          <w:p w14:paraId="611F453A" w14:textId="77777777" w:rsidR="00A23F33" w:rsidRPr="00DD0783" w:rsidRDefault="00A23F33" w:rsidP="00E71C56">
            <w:pPr>
              <w:numPr>
                <w:ilvl w:val="0"/>
                <w:numId w:val="24"/>
              </w:numPr>
              <w:spacing w:after="120" w:line="240" w:lineRule="auto"/>
              <w:ind w:left="357" w:hanging="357"/>
            </w:pPr>
            <w:r w:rsidRPr="00DD0783">
              <w:t>wydatki na ewaluację.</w:t>
            </w:r>
          </w:p>
        </w:tc>
      </w:tr>
      <w:tr w:rsidR="00A23F33" w:rsidRPr="00DD0783" w14:paraId="3447F46C" w14:textId="77777777" w:rsidTr="009A053B">
        <w:tc>
          <w:tcPr>
            <w:tcW w:w="1438" w:type="pct"/>
            <w:shd w:val="clear" w:color="auto" w:fill="99CCFF"/>
            <w:vAlign w:val="center"/>
          </w:tcPr>
          <w:p w14:paraId="7ADCBEB2" w14:textId="77777777" w:rsidR="00A23F33" w:rsidRPr="00DD0783" w:rsidRDefault="00A23F33" w:rsidP="002E2DC5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Wydatki/koszty osobowe</w:t>
            </w:r>
            <w:r w:rsidR="002E2DC5" w:rsidRPr="00DD0783">
              <w:rPr>
                <w:b/>
              </w:rPr>
              <w:t xml:space="preserve"> </w:t>
            </w:r>
            <w:r w:rsidRPr="00DD0783">
              <w:rPr>
                <w:b/>
              </w:rPr>
              <w:t>związane z zarządzaniem</w:t>
            </w:r>
            <w:r w:rsidR="002E2DC5" w:rsidRPr="00DD0783">
              <w:rPr>
                <w:b/>
              </w:rPr>
              <w:t xml:space="preserve"> </w:t>
            </w:r>
            <w:r w:rsidRPr="00DD0783">
              <w:rPr>
                <w:b/>
              </w:rPr>
              <w:t>projektem</w:t>
            </w:r>
            <w:r w:rsidR="005F13D7">
              <w:rPr>
                <w:rStyle w:val="Odwoanieprzypisudolnego"/>
                <w:b/>
              </w:rPr>
              <w:footnoteReference w:id="5"/>
            </w:r>
          </w:p>
        </w:tc>
        <w:tc>
          <w:tcPr>
            <w:tcW w:w="3562" w:type="pct"/>
            <w:vAlign w:val="center"/>
          </w:tcPr>
          <w:p w14:paraId="018CB019" w14:textId="6B0A5A86" w:rsidR="00A23F33" w:rsidRPr="00DD0783" w:rsidRDefault="00A23F33" w:rsidP="00D44C8D">
            <w:pPr>
              <w:pStyle w:val="Akapitzlist"/>
              <w:spacing w:before="120" w:after="120" w:line="240" w:lineRule="auto"/>
              <w:ind w:left="0"/>
              <w:jc w:val="both"/>
            </w:pPr>
            <w:r w:rsidRPr="00DD0783">
              <w:t xml:space="preserve">Kwalifikowalne są wydatki związane z wynagrodzeniem </w:t>
            </w:r>
            <w:r w:rsidR="00556119">
              <w:t xml:space="preserve">osób wykonujących </w:t>
            </w:r>
            <w:r w:rsidRPr="00DD0783">
              <w:t>– na podstawie stosunku pracy w oparciu o przepisy kodeksu pracy lub na podstawie umowy cywilnoprawnej bądź innej nienazwanej w oparciu o przepisy kodeksu cywilnego –</w:t>
            </w:r>
            <w:r w:rsidR="003B2988" w:rsidRPr="00DD0783">
              <w:t xml:space="preserve"> </w:t>
            </w:r>
            <w:r w:rsidRPr="00DD0783">
              <w:t xml:space="preserve">na rzecz </w:t>
            </w:r>
            <w:r w:rsidR="00261786" w:rsidRPr="00DD0783">
              <w:t>B</w:t>
            </w:r>
            <w:r w:rsidRPr="00DD0783">
              <w:t xml:space="preserve">eneficjenta, </w:t>
            </w:r>
            <w:r w:rsidR="00556119">
              <w:t>P</w:t>
            </w:r>
            <w:r w:rsidRPr="00DD0783">
              <w:t xml:space="preserve">artnera w projekcie lub podmiotu realizującego projekt czynności związane z zarządzaniem projektem, nieprzekraczające 1% całkowitych wydatków kwalifikowalnych w ramach projektu (2% dla projektów o wartości poniżej 500 000 PLN wydatków kwalifikowalnych) i nie przekraczające 5 000 PLN brutto miesięcznie. </w:t>
            </w:r>
            <w:r w:rsidR="00556119">
              <w:t xml:space="preserve">Powyższe limity są </w:t>
            </w:r>
            <w:r w:rsidRPr="00DD0783">
              <w:t>liczon</w:t>
            </w:r>
            <w:r w:rsidR="00556119">
              <w:t>e</w:t>
            </w:r>
            <w:r w:rsidRPr="00DD0783">
              <w:t xml:space="preserve"> na poziomie projektu, niezależnie od ilości osób zaangażowanych w zarządzanie projektem. Przy czym kwalifikowalne mogą być wydatki osobowe związane z wynagrodzeniem ww. osób przy wykonywaniu ww. czynności w projekcie, jeżeli łącznie spełnione zostaną m.in. następujące warunki:</w:t>
            </w:r>
          </w:p>
          <w:p w14:paraId="0D4C6542" w14:textId="77777777" w:rsidR="00A23F33" w:rsidRPr="00DD0783" w:rsidRDefault="00A23F33" w:rsidP="00E71C56">
            <w:pPr>
              <w:numPr>
                <w:ilvl w:val="0"/>
                <w:numId w:val="23"/>
              </w:numPr>
              <w:spacing w:after="0" w:line="240" w:lineRule="auto"/>
            </w:pPr>
            <w:r w:rsidRPr="00DD0783">
              <w:t>ww. osoba jest bezpośrednio zaangażowana w wykonywanie ww. czynności w ramach projektu;</w:t>
            </w:r>
          </w:p>
          <w:p w14:paraId="46D554F7" w14:textId="77777777" w:rsidR="00A23F33" w:rsidRPr="00DD0783" w:rsidRDefault="00A23F33" w:rsidP="00E71C56">
            <w:pPr>
              <w:numPr>
                <w:ilvl w:val="0"/>
                <w:numId w:val="23"/>
              </w:numPr>
              <w:spacing w:after="0" w:line="240" w:lineRule="auto"/>
            </w:pPr>
            <w:r w:rsidRPr="00DD0783">
              <w:t>mogą być uwzględniane tylko te ww. osoby, które w co najmniej 25% czasu w danym okresie rozliczeniowym wykonują zadania kwalifikowalne w ramach projektu; wówczas za kwalifikowalną może być uznana ta część wynagrodzenia, która odpowiada procentowemu bezpośredniemu zaangażowaniu ww. osoby w wykonywanie czynności w ramach projektu;</w:t>
            </w:r>
          </w:p>
          <w:p w14:paraId="012971B8" w14:textId="77777777" w:rsidR="00A23F33" w:rsidRPr="00DD0783" w:rsidRDefault="00A23F33" w:rsidP="00E71C56">
            <w:pPr>
              <w:numPr>
                <w:ilvl w:val="0"/>
                <w:numId w:val="23"/>
              </w:numPr>
              <w:spacing w:after="0" w:line="240" w:lineRule="auto"/>
            </w:pPr>
            <w:r w:rsidRPr="00DD0783">
              <w:t>wydatki ponoszone są wyłącznie w okresie realizacji projektu oraz za okres, w którym ww. osoba wykonywała faktycznie czynności związane w ramach projektu.</w:t>
            </w:r>
          </w:p>
          <w:p w14:paraId="2DFC63E1" w14:textId="77777777" w:rsidR="00751EAB" w:rsidRPr="00DD0783" w:rsidRDefault="00A23F33" w:rsidP="000073EF">
            <w:pPr>
              <w:spacing w:before="120" w:after="120" w:line="240" w:lineRule="auto"/>
              <w:ind w:left="45"/>
              <w:jc w:val="both"/>
            </w:pPr>
            <w:r w:rsidRPr="00DD0783">
              <w:t xml:space="preserve">Ze względu na specyficzny charakter niektórych projektów, gdzie koszty zarządzania stanowią istotny element projektu, limit wydatków wzrasta do 3% bez ograniczenia w kwocie miesięcznej. Specyfika ta </w:t>
            </w:r>
            <w:r w:rsidRPr="00DD0783">
              <w:lastRenderedPageBreak/>
              <w:t>dotyczy projektów realizowanych w ramach następujących schematów:</w:t>
            </w:r>
          </w:p>
          <w:p w14:paraId="469085E2" w14:textId="77777777" w:rsidR="00751EAB" w:rsidRPr="00DD0783" w:rsidRDefault="00751EAB" w:rsidP="00E71C56">
            <w:pPr>
              <w:pStyle w:val="Akapitzlist"/>
              <w:numPr>
                <w:ilvl w:val="0"/>
                <w:numId w:val="21"/>
              </w:numPr>
              <w:jc w:val="both"/>
            </w:pPr>
            <w:r w:rsidRPr="00DD0783">
              <w:t>1.4 Bc i C</w:t>
            </w:r>
            <w:r w:rsidR="00474CDD" w:rsidRPr="00DD0783">
              <w:rPr>
                <w:rStyle w:val="Odwoanieprzypisudolnego"/>
              </w:rPr>
              <w:footnoteReference w:id="6"/>
            </w:r>
            <w:r w:rsidR="00B46B35" w:rsidRPr="00DD0783">
              <w:t>.</w:t>
            </w:r>
          </w:p>
          <w:p w14:paraId="316CF799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Katalog schematów może być przez IZ RPO WD uzupełniany w trakcie wdrażania programu.</w:t>
            </w:r>
          </w:p>
          <w:p w14:paraId="3C636520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Powyższe ograniczenia nie dotyczą projektów grantowych,</w:t>
            </w:r>
            <w:r w:rsidR="00B3047E" w:rsidRPr="00DD0783">
              <w:t xml:space="preserve"> </w:t>
            </w:r>
            <w:r w:rsidRPr="00DD0783">
              <w:rPr>
                <w:u w:val="single"/>
              </w:rPr>
              <w:t>dla których stosowne uregulowania znajdą się w</w:t>
            </w:r>
            <w:r w:rsidR="002B102C">
              <w:rPr>
                <w:u w:val="single"/>
              </w:rPr>
              <w:t xml:space="preserve"> zapisach dot</w:t>
            </w:r>
            <w:r w:rsidR="002F108B">
              <w:rPr>
                <w:u w:val="single"/>
              </w:rPr>
              <w:t>yczących</w:t>
            </w:r>
            <w:r w:rsidR="002B102C">
              <w:rPr>
                <w:u w:val="single"/>
              </w:rPr>
              <w:t xml:space="preserve"> poszczególnych </w:t>
            </w:r>
            <w:r w:rsidR="002F108B">
              <w:rPr>
                <w:u w:val="single"/>
              </w:rPr>
              <w:t>D</w:t>
            </w:r>
            <w:r w:rsidR="002B102C">
              <w:rPr>
                <w:u w:val="single"/>
              </w:rPr>
              <w:t>ziałań oraz</w:t>
            </w:r>
            <w:r w:rsidRPr="00DD0783">
              <w:rPr>
                <w:u w:val="single"/>
              </w:rPr>
              <w:t xml:space="preserve"> </w:t>
            </w:r>
            <w:r w:rsidR="004B38E8">
              <w:rPr>
                <w:u w:val="single"/>
              </w:rPr>
              <w:t xml:space="preserve">w </w:t>
            </w:r>
            <w:r w:rsidRPr="00DD0783">
              <w:rPr>
                <w:u w:val="single"/>
              </w:rPr>
              <w:t>regulaminach konkursów</w:t>
            </w:r>
            <w:r w:rsidRPr="00DD0783">
              <w:t>.</w:t>
            </w:r>
          </w:p>
          <w:p w14:paraId="4C2B4D79" w14:textId="77777777" w:rsidR="00A23F33" w:rsidRPr="00DD0783" w:rsidRDefault="00A23F33" w:rsidP="00CA154F">
            <w:pPr>
              <w:spacing w:before="120" w:after="120" w:line="240" w:lineRule="auto"/>
              <w:jc w:val="both"/>
            </w:pPr>
            <w:r w:rsidRPr="00DD0783">
              <w:t>W przypadku, gdy zarządzanie projektem jest wykonywane przez podmiot wybrany zgo</w:t>
            </w:r>
            <w:r w:rsidR="00D44C8D" w:rsidRPr="00DD0783">
              <w:t xml:space="preserve">dnie z zasadą </w:t>
            </w:r>
            <w:r w:rsidR="00CA154F" w:rsidRPr="00DD0783">
              <w:t xml:space="preserve">udzielania zamówień (zasadą udzielania zamówień do 20 000 zł, zasadą udzielania zamówień od 20 000 zł do 50 000 zł, </w:t>
            </w:r>
            <w:r w:rsidR="0080714A" w:rsidRPr="00DD0783">
              <w:t xml:space="preserve">zasadą </w:t>
            </w:r>
            <w:r w:rsidR="00D44C8D" w:rsidRPr="00DD0783">
              <w:t>konkurencyjności/</w:t>
            </w:r>
            <w:r w:rsidRPr="00DD0783">
              <w:t>ustawą Prawo zamówień publicznych</w:t>
            </w:r>
            <w:r w:rsidR="00CA154F" w:rsidRPr="00DD0783">
              <w:t>)</w:t>
            </w:r>
            <w:r w:rsidRPr="00DD0783">
              <w:t xml:space="preserve"> wydatki dotyczące jego wynagrodzenia są kwalifikowalne w takiej wysokości, jaka wynika z podpisanej umowy</w:t>
            </w:r>
            <w:r w:rsidR="00CA154F" w:rsidRPr="00DD0783">
              <w:t>.</w:t>
            </w:r>
          </w:p>
        </w:tc>
      </w:tr>
      <w:tr w:rsidR="00A23F33" w:rsidRPr="00DD0783" w14:paraId="567AD292" w14:textId="77777777" w:rsidTr="009A053B">
        <w:tc>
          <w:tcPr>
            <w:tcW w:w="1438" w:type="pct"/>
            <w:shd w:val="clear" w:color="auto" w:fill="99CCFF"/>
            <w:vAlign w:val="center"/>
          </w:tcPr>
          <w:p w14:paraId="4778A86D" w14:textId="77777777" w:rsidR="00A23F33" w:rsidRPr="00DD0783" w:rsidRDefault="00A23F33" w:rsidP="00316F35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Wydatki/koszty osobowe</w:t>
            </w:r>
            <w:r w:rsidR="00B73188" w:rsidRPr="00DD0783">
              <w:rPr>
                <w:b/>
              </w:rPr>
              <w:t xml:space="preserve"> </w:t>
            </w:r>
            <w:r w:rsidRPr="00DD0783">
              <w:rPr>
                <w:b/>
              </w:rPr>
              <w:t xml:space="preserve">związane </w:t>
            </w:r>
            <w:r w:rsidR="00B73188" w:rsidRPr="00DD0783">
              <w:rPr>
                <w:b/>
              </w:rPr>
              <w:br/>
            </w:r>
            <w:r w:rsidRPr="00DD0783">
              <w:rPr>
                <w:b/>
              </w:rPr>
              <w:t>z zaangażowaniem personelu (kadry merytorycznej)</w:t>
            </w:r>
          </w:p>
        </w:tc>
        <w:tc>
          <w:tcPr>
            <w:tcW w:w="3562" w:type="pct"/>
            <w:vAlign w:val="center"/>
          </w:tcPr>
          <w:p w14:paraId="7AE24B97" w14:textId="3BC0E15B" w:rsidR="00A23F33" w:rsidRPr="00DD0783" w:rsidRDefault="00A23F33" w:rsidP="003B2988">
            <w:pPr>
              <w:pStyle w:val="Akapitzlist"/>
              <w:spacing w:before="120" w:after="120" w:line="240" w:lineRule="auto"/>
              <w:ind w:left="0"/>
              <w:jc w:val="both"/>
            </w:pPr>
            <w:r w:rsidRPr="00DD0783">
              <w:t>Koszty związane z wynagrodzeniem personelu są kwalifikowane w</w:t>
            </w:r>
            <w:r w:rsidR="003B2988" w:rsidRPr="00DD0783">
              <w:t> </w:t>
            </w:r>
            <w:r w:rsidRPr="00DD0783">
              <w:t xml:space="preserve">ramach projektu, o ile wynika to ze specyfiki projektu, na warunkach określonych w </w:t>
            </w:r>
            <w:r w:rsidRPr="00DD0783">
              <w:rPr>
                <w:i/>
              </w:rPr>
              <w:t>„Wytycznych w zakresie kwalifikowalności wydatków w</w:t>
            </w:r>
            <w:r w:rsidR="005A2D3C">
              <w:rPr>
                <w:i/>
              </w:rPr>
              <w:t> </w:t>
            </w:r>
            <w:r w:rsidRPr="00DD0783">
              <w:rPr>
                <w:i/>
              </w:rPr>
              <w:t>ramach Europejskiego Funduszu Rozwoju Regionalnego, Europejskiego Funduszu Społecznego oraz Funduszu Spójności na lata 2014-2020”</w:t>
            </w:r>
            <w:r w:rsidR="00316F35" w:rsidRPr="00DD0783">
              <w:rPr>
                <w:i/>
              </w:rPr>
              <w:t>.</w:t>
            </w:r>
          </w:p>
        </w:tc>
      </w:tr>
      <w:tr w:rsidR="00A23F33" w:rsidRPr="00DD0783" w14:paraId="766025B9" w14:textId="77777777" w:rsidTr="009A053B">
        <w:tc>
          <w:tcPr>
            <w:tcW w:w="1438" w:type="pct"/>
            <w:shd w:val="clear" w:color="auto" w:fill="99CCFF"/>
            <w:vAlign w:val="center"/>
          </w:tcPr>
          <w:p w14:paraId="40ED087A" w14:textId="77777777" w:rsidR="00A23F33" w:rsidRPr="00DD0783" w:rsidRDefault="00D44C8D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Koszty bieżącego utrzymania</w:t>
            </w:r>
            <w:r w:rsidR="00A23F33" w:rsidRPr="00DD0783">
              <w:rPr>
                <w:b/>
              </w:rPr>
              <w:t>/koszty wyposażenia stanowiska pracy (jeżeli nie jest to celem projektu)</w:t>
            </w:r>
            <w:r w:rsidRPr="00DD0783">
              <w:rPr>
                <w:b/>
              </w:rPr>
              <w:t>/</w:t>
            </w:r>
            <w:r w:rsidR="00A23F33" w:rsidRPr="00DD0783">
              <w:rPr>
                <w:b/>
              </w:rPr>
              <w:t>koszty operacyjne/bieżące</w:t>
            </w:r>
            <w:r w:rsidR="00582835">
              <w:rPr>
                <w:rStyle w:val="Odwoanieprzypisudolnego"/>
                <w:b/>
              </w:rPr>
              <w:footnoteReference w:id="7"/>
            </w:r>
          </w:p>
        </w:tc>
        <w:tc>
          <w:tcPr>
            <w:tcW w:w="3562" w:type="pct"/>
            <w:vAlign w:val="center"/>
          </w:tcPr>
          <w:p w14:paraId="606AF733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Koszty bieżącego utrzymania/koszty wyposażenia stanowiska pracy (jeżeli nie jest to celem projektu)/ koszty operacyjne/bieżące stanowią wydatki niekwalifikowalne.</w:t>
            </w:r>
          </w:p>
          <w:p w14:paraId="029A594A" w14:textId="77777777" w:rsidR="00A23F33" w:rsidRPr="00DD0783" w:rsidRDefault="00A23F33" w:rsidP="00316F35">
            <w:pPr>
              <w:spacing w:before="120" w:after="120" w:line="240" w:lineRule="auto"/>
              <w:jc w:val="both"/>
            </w:pPr>
            <w:r w:rsidRPr="00DD0783">
              <w:t xml:space="preserve">Powyższe ograniczenia nie dotyczą projektów grantowych, </w:t>
            </w:r>
            <w:r w:rsidRPr="00DD0783">
              <w:rPr>
                <w:u w:val="single"/>
              </w:rPr>
              <w:t xml:space="preserve">dla których stosowne uregulowania znajdą się w </w:t>
            </w:r>
            <w:r w:rsidR="004B38E8">
              <w:rPr>
                <w:u w:val="single"/>
              </w:rPr>
              <w:t>zapisach dot</w:t>
            </w:r>
            <w:r w:rsidR="009A0121">
              <w:rPr>
                <w:u w:val="single"/>
              </w:rPr>
              <w:t>yczących</w:t>
            </w:r>
            <w:r w:rsidR="004B38E8">
              <w:rPr>
                <w:u w:val="single"/>
              </w:rPr>
              <w:t xml:space="preserve"> poszczególnych </w:t>
            </w:r>
            <w:r w:rsidR="009A0121">
              <w:rPr>
                <w:u w:val="single"/>
              </w:rPr>
              <w:t>D</w:t>
            </w:r>
            <w:r w:rsidR="004B38E8">
              <w:rPr>
                <w:u w:val="single"/>
              </w:rPr>
              <w:t>ziałań oraz w</w:t>
            </w:r>
            <w:r w:rsidR="004B38E8" w:rsidRPr="00DD0783">
              <w:rPr>
                <w:u w:val="single"/>
              </w:rPr>
              <w:t xml:space="preserve"> </w:t>
            </w:r>
            <w:r w:rsidRPr="00DD0783">
              <w:rPr>
                <w:u w:val="single"/>
              </w:rPr>
              <w:t>regulaminach konkursów</w:t>
            </w:r>
            <w:r w:rsidRPr="00DD0783">
              <w:t>.</w:t>
            </w:r>
          </w:p>
        </w:tc>
      </w:tr>
      <w:tr w:rsidR="00A23F33" w:rsidRPr="00DD0783" w14:paraId="1CC46B9C" w14:textId="77777777" w:rsidTr="009A053B">
        <w:tc>
          <w:tcPr>
            <w:tcW w:w="1438" w:type="pct"/>
            <w:shd w:val="clear" w:color="auto" w:fill="99CCFF"/>
            <w:vAlign w:val="center"/>
          </w:tcPr>
          <w:p w14:paraId="6194331A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 xml:space="preserve">Wydatki związane </w:t>
            </w:r>
            <w:r w:rsidR="00B73188" w:rsidRPr="00DD0783">
              <w:rPr>
                <w:b/>
              </w:rPr>
              <w:br/>
            </w:r>
            <w:r w:rsidRPr="00DD0783">
              <w:rPr>
                <w:b/>
              </w:rPr>
              <w:t>z działaniami informacyjno-promocyjnymi projektu</w:t>
            </w:r>
            <w:r w:rsidR="00582835">
              <w:rPr>
                <w:rStyle w:val="Odwoanieprzypisudolnego"/>
                <w:b/>
              </w:rPr>
              <w:footnoteReference w:id="8"/>
            </w:r>
          </w:p>
        </w:tc>
        <w:tc>
          <w:tcPr>
            <w:tcW w:w="3562" w:type="pct"/>
            <w:vAlign w:val="center"/>
          </w:tcPr>
          <w:p w14:paraId="0D7957D2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Wydatki związane z działaniami informacyjno-promocyjnymi przekraczające 2% wydatków kwalifikowalnych dla projektów o wartości poniżej 500 000 PLN wydatków kwalifikowalnych lub 1% dla projektów o wartości wydatków kwalifikowalnych nie niższych niż 500 000 PLN. Limit weryfikowany jest jednorazowo w momencie oceny wniosku o dofinansowanie. </w:t>
            </w:r>
          </w:p>
          <w:p w14:paraId="032AD1EF" w14:textId="77777777" w:rsidR="00A23F33" w:rsidRPr="00DD0783" w:rsidRDefault="00A23F33" w:rsidP="00316F35">
            <w:pPr>
              <w:spacing w:before="120" w:after="120" w:line="240" w:lineRule="auto"/>
              <w:jc w:val="both"/>
            </w:pPr>
            <w:r w:rsidRPr="00DD0783">
              <w:t xml:space="preserve">Powyższe ograniczenia nie dotyczą projektów grantowych, </w:t>
            </w:r>
            <w:r w:rsidRPr="00DD0783">
              <w:rPr>
                <w:u w:val="single"/>
              </w:rPr>
              <w:t>dla których stosowne uregulowania znajdą się w</w:t>
            </w:r>
            <w:r w:rsidR="004B38E8">
              <w:rPr>
                <w:u w:val="single"/>
              </w:rPr>
              <w:t xml:space="preserve"> zapisach dot</w:t>
            </w:r>
            <w:r w:rsidR="009A0121">
              <w:rPr>
                <w:u w:val="single"/>
              </w:rPr>
              <w:t>yczących</w:t>
            </w:r>
            <w:r w:rsidR="004B38E8">
              <w:rPr>
                <w:u w:val="single"/>
              </w:rPr>
              <w:t xml:space="preserve"> poszczególnych </w:t>
            </w:r>
            <w:r w:rsidR="009A0121">
              <w:rPr>
                <w:u w:val="single"/>
              </w:rPr>
              <w:t>D</w:t>
            </w:r>
            <w:r w:rsidR="004B38E8">
              <w:rPr>
                <w:u w:val="single"/>
              </w:rPr>
              <w:t>ziałań oraz w</w:t>
            </w:r>
            <w:r w:rsidRPr="00DD0783">
              <w:rPr>
                <w:u w:val="single"/>
              </w:rPr>
              <w:t xml:space="preserve"> regulaminach konkursów</w:t>
            </w:r>
            <w:r w:rsidRPr="00DD0783">
              <w:t>.</w:t>
            </w:r>
          </w:p>
        </w:tc>
      </w:tr>
      <w:tr w:rsidR="00A23F33" w:rsidRPr="00DD0783" w14:paraId="65C942FD" w14:textId="77777777" w:rsidTr="009A053B">
        <w:tc>
          <w:tcPr>
            <w:tcW w:w="1438" w:type="pct"/>
            <w:shd w:val="clear" w:color="auto" w:fill="99CCFF"/>
            <w:vAlign w:val="center"/>
          </w:tcPr>
          <w:p w14:paraId="3660F27A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Rezerwa</w:t>
            </w:r>
          </w:p>
        </w:tc>
        <w:tc>
          <w:tcPr>
            <w:tcW w:w="3562" w:type="pct"/>
            <w:vAlign w:val="center"/>
          </w:tcPr>
          <w:p w14:paraId="404302A5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rPr>
                <w:rFonts w:eastAsia="Calibri"/>
              </w:rPr>
              <w:t xml:space="preserve">Rezerwa na </w:t>
            </w:r>
            <w:r w:rsidRPr="00DD0783">
              <w:t>wypadek przekroczenia ilości robót oszacowanych w przedmiarze lub na</w:t>
            </w:r>
            <w:r w:rsidRPr="00DD0783">
              <w:rPr>
                <w:rFonts w:eastAsia="Calibri"/>
              </w:rPr>
              <w:t xml:space="preserve"> pokrycie nieprzewidzianych wydatków w projekcie bądź inne nieprzewidziane wydatki w projekcie.</w:t>
            </w:r>
          </w:p>
        </w:tc>
      </w:tr>
      <w:tr w:rsidR="00A23F33" w:rsidRPr="00DD0783" w14:paraId="38CAE362" w14:textId="77777777" w:rsidTr="009A053B">
        <w:tc>
          <w:tcPr>
            <w:tcW w:w="1438" w:type="pct"/>
            <w:shd w:val="clear" w:color="auto" w:fill="99CCFF"/>
            <w:vAlign w:val="center"/>
          </w:tcPr>
          <w:p w14:paraId="751BD5F3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Płatności kartą</w:t>
            </w:r>
          </w:p>
        </w:tc>
        <w:tc>
          <w:tcPr>
            <w:tcW w:w="3562" w:type="pct"/>
            <w:vAlign w:val="center"/>
          </w:tcPr>
          <w:p w14:paraId="47EBB6A6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Płatności dokonywane kartą płatniczą, która nie jest powiązana z rachunkiem </w:t>
            </w:r>
            <w:r w:rsidR="00D44C8D" w:rsidRPr="00DD0783">
              <w:t>B</w:t>
            </w:r>
            <w:r w:rsidRPr="00DD0783">
              <w:t>eneficjenta/podmiotu realizującego projekt.</w:t>
            </w:r>
          </w:p>
        </w:tc>
      </w:tr>
      <w:tr w:rsidR="00A23F33" w:rsidRPr="00DD0783" w14:paraId="15F6A5E9" w14:textId="77777777" w:rsidTr="009A053B">
        <w:tc>
          <w:tcPr>
            <w:tcW w:w="1438" w:type="pct"/>
            <w:shd w:val="clear" w:color="auto" w:fill="99CCFF"/>
            <w:vAlign w:val="center"/>
          </w:tcPr>
          <w:p w14:paraId="5A8201B7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Zwiększenie wynagrodzenia</w:t>
            </w:r>
          </w:p>
        </w:tc>
        <w:tc>
          <w:tcPr>
            <w:tcW w:w="3562" w:type="pct"/>
            <w:vAlign w:val="center"/>
          </w:tcPr>
          <w:p w14:paraId="48889E86" w14:textId="77777777" w:rsidR="005329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Zwiększenie wynagrodzenia wykonawcy na skutek</w:t>
            </w:r>
            <w:r w:rsidR="00532933" w:rsidRPr="00DD0783">
              <w:t>:</w:t>
            </w:r>
          </w:p>
          <w:p w14:paraId="3C365ABD" w14:textId="77777777" w:rsidR="00532933" w:rsidRPr="00DD0783" w:rsidRDefault="00532933" w:rsidP="00E71C56">
            <w:pPr>
              <w:pStyle w:val="Akapit"/>
              <w:keepNext w:val="0"/>
              <w:numPr>
                <w:ilvl w:val="0"/>
                <w:numId w:val="26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DD0783">
              <w:rPr>
                <w:rFonts w:asciiTheme="minorHAnsi" w:hAnsiTheme="minorHAnsi"/>
                <w:sz w:val="22"/>
                <w:szCs w:val="22"/>
              </w:rPr>
              <w:t xml:space="preserve">wydatków wynikających z zastosowania mechanizmu waloryzacji ceny,  </w:t>
            </w:r>
          </w:p>
          <w:p w14:paraId="0C43D942" w14:textId="77777777" w:rsidR="00532933" w:rsidRPr="00DD0783" w:rsidRDefault="00532933" w:rsidP="00E71C56">
            <w:pPr>
              <w:pStyle w:val="Akapit"/>
              <w:keepNext w:val="0"/>
              <w:numPr>
                <w:ilvl w:val="0"/>
                <w:numId w:val="26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DD0783">
              <w:rPr>
                <w:rFonts w:asciiTheme="minorHAnsi" w:hAnsiTheme="minorHAnsi"/>
                <w:sz w:val="22"/>
                <w:szCs w:val="22"/>
              </w:rPr>
              <w:t xml:space="preserve">wydatków wynikających ze zwiększenia wynagrodzenia wykonawcy dokonanego w drodze porozumienia, ugody sądowej oraz orzeczenia sądu, o którym mowa </w:t>
            </w:r>
            <w:r w:rsidRPr="00DD0783">
              <w:rPr>
                <w:rFonts w:asciiTheme="minorHAnsi" w:hAnsiTheme="minorHAnsi"/>
                <w:sz w:val="22"/>
                <w:szCs w:val="22"/>
              </w:rPr>
              <w:br/>
              <w:t>w art. 357</w:t>
            </w:r>
            <w:r w:rsidRPr="00DD0783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  <w:r w:rsidRPr="00DD0783">
              <w:rPr>
                <w:rFonts w:asciiTheme="minorHAnsi" w:hAnsiTheme="minorHAnsi"/>
                <w:sz w:val="22"/>
                <w:szCs w:val="22"/>
              </w:rPr>
              <w:t xml:space="preserve"> Kodeksu cywilnego,</w:t>
            </w:r>
          </w:p>
          <w:p w14:paraId="21F26F3A" w14:textId="77777777" w:rsidR="00532933" w:rsidRPr="00DD0783" w:rsidRDefault="00532933" w:rsidP="00E71C56">
            <w:pPr>
              <w:pStyle w:val="Akapit"/>
              <w:keepNext w:val="0"/>
              <w:numPr>
                <w:ilvl w:val="0"/>
                <w:numId w:val="26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DD0783">
              <w:rPr>
                <w:rFonts w:asciiTheme="minorHAnsi" w:hAnsiTheme="minorHAnsi"/>
                <w:sz w:val="22"/>
                <w:szCs w:val="22"/>
              </w:rPr>
              <w:t>wydatków wynikających ze zwiększenia wynagrodzenia ryczałtowego na mocy wyroku sądu, o którym mowa w art. 632 § 2 Kodeksu cywilnego.</w:t>
            </w:r>
          </w:p>
          <w:p w14:paraId="6CA1CB06" w14:textId="719221EB" w:rsidR="00FD7775" w:rsidRPr="00DD0783" w:rsidRDefault="00A23F33" w:rsidP="0087477B">
            <w:pPr>
              <w:spacing w:before="120" w:after="120" w:line="240" w:lineRule="auto"/>
              <w:jc w:val="both"/>
            </w:pPr>
            <w:r w:rsidRPr="00DD0783">
              <w:t xml:space="preserve">stanowi wydatek kwalifikowalny. </w:t>
            </w:r>
            <w:r w:rsidR="00FD7775" w:rsidRPr="00DD0783">
              <w:t>Zwiększenie wynagrodzenia, o</w:t>
            </w:r>
            <w:r w:rsidR="005A2D3C">
              <w:t> </w:t>
            </w:r>
            <w:r w:rsidR="00FD7775" w:rsidRPr="00DD0783">
              <w:t xml:space="preserve">którym mowa </w:t>
            </w:r>
            <w:r w:rsidR="00854448" w:rsidRPr="00DD0783">
              <w:t>powyżej</w:t>
            </w:r>
            <w:r w:rsidR="00FD7775" w:rsidRPr="00DD0783">
              <w:t xml:space="preserve"> nie powoduje automatycznego zwiększenia kwoty dofinansowania przyznanego w</w:t>
            </w:r>
            <w:r w:rsidR="007668E1">
              <w:t> </w:t>
            </w:r>
            <w:r w:rsidR="00FD7775" w:rsidRPr="00DD0783">
              <w:t>umowie.</w:t>
            </w:r>
          </w:p>
        </w:tc>
      </w:tr>
      <w:tr w:rsidR="00A23F33" w:rsidRPr="00DD0783" w14:paraId="509C0BB7" w14:textId="77777777" w:rsidTr="009A053B">
        <w:tc>
          <w:tcPr>
            <w:tcW w:w="1438" w:type="pct"/>
            <w:shd w:val="clear" w:color="auto" w:fill="99CCFF"/>
            <w:vAlign w:val="center"/>
          </w:tcPr>
          <w:p w14:paraId="32479185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DD0783">
              <w:rPr>
                <w:b/>
                <w:i/>
              </w:rPr>
              <w:t>Cross</w:t>
            </w:r>
            <w:r w:rsidR="00D44C8D" w:rsidRPr="00DD0783">
              <w:rPr>
                <w:b/>
                <w:i/>
              </w:rPr>
              <w:t>-</w:t>
            </w:r>
            <w:r w:rsidRPr="00DD0783">
              <w:rPr>
                <w:b/>
                <w:i/>
              </w:rPr>
              <w:t>financing</w:t>
            </w:r>
          </w:p>
        </w:tc>
        <w:tc>
          <w:tcPr>
            <w:tcW w:w="3562" w:type="pct"/>
            <w:vAlign w:val="center"/>
          </w:tcPr>
          <w:p w14:paraId="7EA665CB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Wydatki przekraczające wartość 10% całkowitych wydatków kwalifikowalnych w projekcie, chyba że w działaniu przewidziano inny poziom. Pod warunkiem uzyskania uprzedniej zgody IZ RPO WD, uzasadnione wydatki ponad limit są kwalifikowalne.</w:t>
            </w:r>
          </w:p>
        </w:tc>
      </w:tr>
      <w:tr w:rsidR="00FC3DFA" w:rsidRPr="00DD0783" w14:paraId="17D6FF9A" w14:textId="77777777" w:rsidTr="00FC3DFA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D7A45C6" w14:textId="77777777" w:rsidR="00FC3DFA" w:rsidRPr="009F303C" w:rsidRDefault="00FC3DFA" w:rsidP="00FC3DFA">
            <w:pPr>
              <w:spacing w:before="120" w:after="120" w:line="240" w:lineRule="auto"/>
              <w:jc w:val="center"/>
              <w:rPr>
                <w:b/>
              </w:rPr>
            </w:pPr>
            <w:r w:rsidRPr="009F303C">
              <w:rPr>
                <w:b/>
              </w:rPr>
              <w:t>Zakup gruntu</w:t>
            </w:r>
            <w:r w:rsidRPr="007668E1">
              <w:rPr>
                <w:rStyle w:val="Odwoanieprzypisudolnego"/>
                <w:b/>
              </w:rPr>
              <w:footnoteReference w:id="9"/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6BB0" w14:textId="77777777" w:rsidR="00FC3DFA" w:rsidRPr="00DD0783" w:rsidRDefault="00ED4A1C" w:rsidP="00ED4A1C">
            <w:pPr>
              <w:spacing w:before="120" w:after="120" w:line="240" w:lineRule="auto"/>
              <w:jc w:val="both"/>
            </w:pPr>
            <w:r w:rsidRPr="00DD0783">
              <w:t>Wydatek poniesiony przed złożeniem wniosku o dofinansowanie na z</w:t>
            </w:r>
            <w:r w:rsidR="00FC3DFA" w:rsidRPr="00DD0783">
              <w:t>akup gruntu (zabudowanego i niezabudowanego) w projektach objętych pomocą publiczną, w tym częściowo objętych pomocą publiczną</w:t>
            </w:r>
            <w:r w:rsidRPr="00DD0783">
              <w:t xml:space="preserve"> –</w:t>
            </w:r>
            <w:r w:rsidR="00FC3DFA" w:rsidRPr="00DD0783">
              <w:t xml:space="preserve"> tam </w:t>
            </w:r>
            <w:r w:rsidR="00FC3DFA" w:rsidRPr="00DD0783">
              <w:rPr>
                <w:b/>
              </w:rPr>
              <w:t>gdzie występuje efekt zachęty</w:t>
            </w:r>
            <w:r w:rsidRPr="00DD0783">
              <w:t xml:space="preserve"> </w:t>
            </w:r>
            <w:r w:rsidR="00A32D90">
              <w:t>.</w:t>
            </w:r>
          </w:p>
        </w:tc>
      </w:tr>
    </w:tbl>
    <w:p w14:paraId="2E18876B" w14:textId="77777777" w:rsidR="00A26918" w:rsidRDefault="00A26918" w:rsidP="003B2988">
      <w:pPr>
        <w:jc w:val="both"/>
        <w:rPr>
          <w:b/>
        </w:rPr>
      </w:pPr>
    </w:p>
    <w:p w14:paraId="7E0FF0DB" w14:textId="77777777" w:rsidR="00A23F33" w:rsidRPr="00DD0783" w:rsidRDefault="00564793" w:rsidP="00564793">
      <w:pPr>
        <w:jc w:val="center"/>
        <w:rPr>
          <w:b/>
        </w:rPr>
      </w:pPr>
      <w:r w:rsidRPr="00DD0783">
        <w:rPr>
          <w:b/>
        </w:rPr>
        <w:t xml:space="preserve">3.2 SZCZEGÓŁOWE ZAPISY DOTYCZĄCE POSZCZEGÓLNYCH DZIAŁAŃ </w:t>
      </w:r>
      <w:r>
        <w:rPr>
          <w:b/>
        </w:rPr>
        <w:br/>
      </w:r>
      <w:r w:rsidRPr="00DD0783">
        <w:rPr>
          <w:b/>
        </w:rPr>
        <w:t>– WYDATKI NIEKWALIFIKOWALNE</w:t>
      </w:r>
    </w:p>
    <w:p w14:paraId="4497EB5B" w14:textId="77777777" w:rsidR="00FD7775" w:rsidRPr="00DD0783" w:rsidRDefault="00862CCA" w:rsidP="003B2988">
      <w:pPr>
        <w:jc w:val="both"/>
        <w:rPr>
          <w:b/>
        </w:rPr>
      </w:pPr>
      <w:r w:rsidRPr="00DD0783">
        <w:rPr>
          <w:b/>
        </w:rPr>
        <w:t>D</w:t>
      </w:r>
      <w:r w:rsidR="00FD7775" w:rsidRPr="00DD0783">
        <w:rPr>
          <w:b/>
        </w:rPr>
        <w:t xml:space="preserve">la </w:t>
      </w:r>
      <w:r w:rsidR="00D2466E" w:rsidRPr="00DD0783">
        <w:rPr>
          <w:b/>
        </w:rPr>
        <w:t xml:space="preserve">danego </w:t>
      </w:r>
      <w:r w:rsidR="00FD7775" w:rsidRPr="00DD0783">
        <w:rPr>
          <w:b/>
        </w:rPr>
        <w:t xml:space="preserve">projektu zastosowanie mają tylko </w:t>
      </w:r>
      <w:r w:rsidR="00D2466E" w:rsidRPr="00DD0783">
        <w:rPr>
          <w:b/>
        </w:rPr>
        <w:t xml:space="preserve">te </w:t>
      </w:r>
      <w:r w:rsidR="00FD7775" w:rsidRPr="00DD0783">
        <w:rPr>
          <w:b/>
        </w:rPr>
        <w:t>w</w:t>
      </w:r>
      <w:r w:rsidR="00D2466E" w:rsidRPr="00DD0783">
        <w:rPr>
          <w:b/>
        </w:rPr>
        <w:t>yłączenia specyficzne dla D</w:t>
      </w:r>
      <w:r w:rsidR="00FD7775" w:rsidRPr="00DD0783">
        <w:rPr>
          <w:b/>
        </w:rPr>
        <w:t>ziałania</w:t>
      </w:r>
      <w:r w:rsidR="00D2466E" w:rsidRPr="00DD0783">
        <w:rPr>
          <w:b/>
        </w:rPr>
        <w:t>/typu projektu,</w:t>
      </w:r>
      <w:r w:rsidR="00FD7775" w:rsidRPr="00DD0783">
        <w:rPr>
          <w:b/>
        </w:rPr>
        <w:t xml:space="preserve"> w ramach którego realizowany jest projekt</w:t>
      </w:r>
      <w:r w:rsidR="00D2466E" w:rsidRPr="00DD0783">
        <w:rPr>
          <w:b/>
        </w:rPr>
        <w:t>.</w:t>
      </w:r>
    </w:p>
    <w:p w14:paraId="132CEE2F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1.1 Wzmacnianie potencjału B+R i wdrożeniowego uczelni i jednostek naukowych:</w:t>
      </w:r>
    </w:p>
    <w:p w14:paraId="3DBA38AC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Koszty wynagrodzeń. </w:t>
      </w:r>
    </w:p>
    <w:p w14:paraId="2C1CEFC8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osobowe związane z zarządzaniem projektem i realizacją projektu.</w:t>
      </w:r>
    </w:p>
    <w:p w14:paraId="6D27A891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obsługę techniczną/koszty utrzymania.</w:t>
      </w:r>
    </w:p>
    <w:p w14:paraId="257AA582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do badań podstawowych</w:t>
      </w:r>
      <w:r w:rsidRPr="00DD0783">
        <w:rPr>
          <w:rFonts w:eastAsia="Times New Roman" w:cs="Times New Roman"/>
          <w:vertAlign w:val="superscript"/>
        </w:rPr>
        <w:footnoteReference w:id="10"/>
      </w:r>
      <w:r w:rsidRPr="00DD0783">
        <w:rPr>
          <w:rFonts w:eastAsia="Times New Roman" w:cs="Times New Roman"/>
        </w:rPr>
        <w:t>, jeśli nie jest ona zgodna z zakresem regionalnych strategii inteligentnej specjalizacji i nie ma uzasadnienia, w jaki sposób rezultaty projektu mogą się przełożyć na rozwój regionu.</w:t>
      </w:r>
    </w:p>
    <w:p w14:paraId="6D2C362E" w14:textId="77777777" w:rsidR="00A23F33" w:rsidRPr="00CD30E3" w:rsidRDefault="00A23F33" w:rsidP="00E71C56">
      <w:pPr>
        <w:pStyle w:val="Akapitzlist"/>
        <w:numPr>
          <w:ilvl w:val="0"/>
          <w:numId w:val="3"/>
        </w:numPr>
        <w:spacing w:after="0"/>
        <w:jc w:val="both"/>
      </w:pPr>
      <w:r w:rsidRPr="00DD0783">
        <w:rPr>
          <w:rFonts w:eastAsia="Times New Roman" w:cs="Times New Roman"/>
        </w:rPr>
        <w:t>Wydatki na infrastrukturę TIK jeśli nie zostanie uzasadniona ich celowość w kont</w:t>
      </w:r>
      <w:r w:rsidR="0040430E" w:rsidRPr="00DD0783">
        <w:rPr>
          <w:rFonts w:eastAsia="Times New Roman" w:cs="Times New Roman"/>
        </w:rPr>
        <w:t>ekście planowanej działalności W</w:t>
      </w:r>
      <w:r w:rsidRPr="00DD0783">
        <w:rPr>
          <w:rFonts w:eastAsia="Times New Roman" w:cs="Times New Roman"/>
        </w:rPr>
        <w:t xml:space="preserve">nioskodawcy w zakresie B+R. </w:t>
      </w:r>
    </w:p>
    <w:p w14:paraId="2F93A9F8" w14:textId="05E3A5B9" w:rsidR="00144BB9" w:rsidRPr="00DD0783" w:rsidRDefault="00144BB9" w:rsidP="00E71C56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eastAsia="Times New Roman" w:cs="Times New Roman"/>
        </w:rPr>
        <w:lastRenderedPageBreak/>
        <w:t>Podatek VAT</w:t>
      </w:r>
      <w:r w:rsidR="00703557">
        <w:rPr>
          <w:rStyle w:val="Odwoanieprzypisudolnego"/>
          <w:rFonts w:eastAsia="Times New Roman" w:cs="Times New Roman"/>
        </w:rPr>
        <w:footnoteReference w:id="11"/>
      </w:r>
      <w:r>
        <w:rPr>
          <w:rFonts w:eastAsia="Times New Roman" w:cs="Times New Roman"/>
        </w:rPr>
        <w:t>.</w:t>
      </w:r>
    </w:p>
    <w:p w14:paraId="54276744" w14:textId="77777777" w:rsidR="00A23F33" w:rsidRPr="00DD0783" w:rsidRDefault="00A23F33" w:rsidP="003B2988">
      <w:pPr>
        <w:pStyle w:val="Akapitzlist"/>
        <w:spacing w:after="0"/>
        <w:jc w:val="both"/>
      </w:pPr>
    </w:p>
    <w:p w14:paraId="06B16C8E" w14:textId="77777777" w:rsidR="00A23F33" w:rsidRPr="00DD0783" w:rsidRDefault="00FD7775" w:rsidP="003B2988">
      <w:pPr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1.2 Innowacyjne przedsiębiorstwa:</w:t>
      </w:r>
    </w:p>
    <w:p w14:paraId="5F9E36AF" w14:textId="77777777" w:rsidR="00A23F33" w:rsidRPr="00DD0783" w:rsidRDefault="00C34307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1.2 </w:t>
      </w:r>
      <w:r w:rsidR="00A23F33" w:rsidRPr="00DD0783">
        <w:rPr>
          <w:b/>
        </w:rPr>
        <w:t>A:</w:t>
      </w:r>
    </w:p>
    <w:p w14:paraId="53A4D321" w14:textId="77777777" w:rsidR="0020624F" w:rsidRPr="00DD0783" w:rsidRDefault="00EC2BAC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budowę, przebudowę, odbudowę, rozbudowę, nadbudowę obiektu budowlanego przekraczające 50% całkowitych wydatków kwalifikowalnych projektu</w:t>
      </w:r>
      <w:r w:rsidRPr="00DD0783">
        <w:rPr>
          <w:rStyle w:val="Odwoanieprzypisudolnego"/>
          <w:rFonts w:eastAsia="Times New Roman" w:cs="Times New Roman"/>
        </w:rPr>
        <w:footnoteReference w:id="12"/>
      </w:r>
      <w:r w:rsidRPr="00DD0783">
        <w:rPr>
          <w:rFonts w:eastAsia="Times New Roman" w:cs="Times New Roman"/>
        </w:rPr>
        <w:t>.</w:t>
      </w:r>
    </w:p>
    <w:p w14:paraId="754486FB" w14:textId="77777777" w:rsidR="00E17D76" w:rsidRPr="00DD0783" w:rsidRDefault="00E17D76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Wkład niepieniężny stanowiący część wkładu własnego przekraczający 10% całkowitych wydatków kwalifikowalnych</w:t>
      </w:r>
      <w:r w:rsidRPr="00DD0783">
        <w:rPr>
          <w:rStyle w:val="Odwoanieprzypisudolnego"/>
          <w:rFonts w:eastAsia="Times New Roman" w:cs="Times New Roman"/>
        </w:rPr>
        <w:footnoteReference w:id="13"/>
      </w:r>
      <w:r w:rsidRPr="00DD0783">
        <w:rPr>
          <w:rFonts w:eastAsia="Times New Roman" w:cs="Times New Roman"/>
        </w:rPr>
        <w:t>.</w:t>
      </w:r>
    </w:p>
    <w:p w14:paraId="60FB3DE6" w14:textId="795EFBC6" w:rsidR="00DD5F4B" w:rsidRPr="00911BE4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DD5F4B">
        <w:rPr>
          <w:rStyle w:val="Odwoanieprzypisudolnego"/>
        </w:rPr>
        <w:footnoteReference w:id="14"/>
      </w:r>
      <w:r w:rsidR="00DD5F4B" w:rsidRPr="00DD0783">
        <w:rPr>
          <w:rStyle w:val="Odwoanieprzypisukocowego"/>
        </w:rPr>
        <w:endnoteReference w:id="1"/>
      </w:r>
      <w:r w:rsidR="00A46F45">
        <w:t xml:space="preserve"> (z wyłączeniem konkursów, w których znajdą zastosowanie uproszczone metody rozliczania kosztów)</w:t>
      </w:r>
      <w:r w:rsidR="00DD5F4B" w:rsidRPr="00DD0783">
        <w:t>.</w:t>
      </w:r>
    </w:p>
    <w:p w14:paraId="21827DFE" w14:textId="77777777" w:rsidR="00DD5F4B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MŚP – wydatki na wdrożenie wyników prac B+R przekraczające 49% całkowitej wartości wydatków kwalifikowalnych.</w:t>
      </w:r>
    </w:p>
    <w:p w14:paraId="26284028" w14:textId="77777777" w:rsidR="00DD5F4B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dużych przedsiębiorstw – wydatki na wdrożenie wyników prac B+R.</w:t>
      </w:r>
    </w:p>
    <w:p w14:paraId="713211EC" w14:textId="77777777" w:rsidR="00DD5F4B" w:rsidRPr="00E71C56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E71C56">
        <w:rPr>
          <w:rFonts w:eastAsia="Times New Roman" w:cs="Times New Roman"/>
        </w:rPr>
        <w:t>Szacunkowe koszty płacy wynikające z utworzenia miejsc pracy w następstwie inwestycji początkowej</w:t>
      </w:r>
    </w:p>
    <w:p w14:paraId="28E6914F" w14:textId="77777777" w:rsidR="00DD5F4B" w:rsidRDefault="00DD5F4B" w:rsidP="00DB74FC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3C7609">
        <w:rPr>
          <w:rFonts w:eastAsia="Times New Roman" w:cs="Times New Roman"/>
          <w:szCs w:val="24"/>
        </w:rPr>
        <w:t>Połączenie kosztów wchodzących w zakres art. 14 GBER</w:t>
      </w:r>
      <w:r w:rsidRPr="003C7609" w:rsidDel="00176EB7">
        <w:rPr>
          <w:rFonts w:eastAsia="Times New Roman" w:cs="Times New Roman"/>
          <w:szCs w:val="24"/>
        </w:rPr>
        <w:t xml:space="preserve"> </w:t>
      </w:r>
      <w:r w:rsidRPr="003C7609">
        <w:rPr>
          <w:rFonts w:eastAsia="Times New Roman" w:cs="Times New Roman"/>
          <w:szCs w:val="24"/>
        </w:rPr>
        <w:t>ust. 4 lit. a) i b)</w:t>
      </w:r>
      <w:r w:rsidR="000B4D29" w:rsidRPr="00E71C56">
        <w:rPr>
          <w:rFonts w:eastAsia="Times New Roman" w:cs="Times New Roman"/>
        </w:rPr>
        <w:t>.</w:t>
      </w:r>
    </w:p>
    <w:p w14:paraId="30613FDE" w14:textId="77777777" w:rsidR="00DD5F4B" w:rsidRPr="00DD0783" w:rsidRDefault="00DD5F4B" w:rsidP="003B2988">
      <w:pPr>
        <w:pStyle w:val="Akapitzlist"/>
        <w:spacing w:after="0"/>
        <w:jc w:val="both"/>
      </w:pPr>
    </w:p>
    <w:p w14:paraId="1DDBFC05" w14:textId="77777777" w:rsidR="00DD5F4B" w:rsidRPr="00DD0783" w:rsidRDefault="00DD5F4B" w:rsidP="001B7507">
      <w:pPr>
        <w:spacing w:after="0"/>
        <w:jc w:val="both"/>
        <w:rPr>
          <w:rFonts w:eastAsia="Times New Roman" w:cs="Times New Roman"/>
          <w:b/>
        </w:rPr>
      </w:pPr>
      <w:r w:rsidRPr="00DD0783">
        <w:rPr>
          <w:rFonts w:eastAsia="Times New Roman" w:cs="Times New Roman"/>
          <w:b/>
        </w:rPr>
        <w:t>1.2 B:</w:t>
      </w:r>
    </w:p>
    <w:p w14:paraId="1B601386" w14:textId="77777777" w:rsidR="00DD5F4B" w:rsidRPr="00DD0783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Wkład niepieniężny stanowiący część wkładu własnego przekraczający 10% całkowitych wydatków kwalifikowalnych.</w:t>
      </w:r>
    </w:p>
    <w:p w14:paraId="4FD9CF00" w14:textId="77777777" w:rsidR="00F64A55" w:rsidRPr="00DD0783" w:rsidRDefault="00DD5F4B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Szacunkowe koszty płacy wynikające z utworzenia miejsc pracy w następstwie inwestycji początkowej</w:t>
      </w:r>
      <w:r w:rsidR="00C61D29">
        <w:rPr>
          <w:rStyle w:val="Odwoanieprzypisudolnego"/>
          <w:rFonts w:eastAsia="Times New Roman" w:cs="Times New Roman"/>
        </w:rPr>
        <w:footnoteReference w:id="15"/>
      </w:r>
      <w:r w:rsidRPr="00DD0783">
        <w:rPr>
          <w:rFonts w:eastAsia="Times New Roman" w:cs="Times New Roman"/>
        </w:rPr>
        <w:t>.</w:t>
      </w:r>
    </w:p>
    <w:p w14:paraId="71E70C3D" w14:textId="77777777" w:rsidR="00F64A55" w:rsidRPr="00DD0783" w:rsidRDefault="00F64A55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Połączenie kosztów wchodzących w zakres art. 14 GBER</w:t>
      </w:r>
      <w:r w:rsidRPr="00DD0783" w:rsidDel="00176EB7">
        <w:rPr>
          <w:rFonts w:eastAsia="Times New Roman" w:cs="Times New Roman"/>
        </w:rPr>
        <w:t xml:space="preserve"> </w:t>
      </w:r>
      <w:r w:rsidRPr="00DD0783">
        <w:rPr>
          <w:rFonts w:eastAsia="Times New Roman" w:cs="Times New Roman"/>
        </w:rPr>
        <w:t>ust. 4 lit. a) i b)</w:t>
      </w:r>
      <w:r w:rsidR="00FD7775" w:rsidRPr="00DD0783">
        <w:rPr>
          <w:rStyle w:val="Odwoanieprzypisudolnego"/>
          <w:rFonts w:eastAsia="Times New Roman" w:cs="Times New Roman"/>
        </w:rPr>
        <w:footnoteReference w:id="16"/>
      </w:r>
      <w:r w:rsidRPr="00DD0783">
        <w:rPr>
          <w:rFonts w:eastAsia="Times New Roman" w:cs="Times New Roman"/>
        </w:rPr>
        <w:t xml:space="preserve">. </w:t>
      </w:r>
    </w:p>
    <w:p w14:paraId="47CD66D0" w14:textId="77777777" w:rsidR="001D4A2D" w:rsidRPr="00DD0783" w:rsidRDefault="001D4A2D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bookmarkStart w:id="9" w:name="_Hlk492640902"/>
      <w:r w:rsidRPr="00DD0783">
        <w:rPr>
          <w:rFonts w:eastAsia="Times New Roman" w:cs="Times New Roman"/>
        </w:rPr>
        <w:t>Wydatki na budowę, przebudowę, odbudowę, rozbudowę, nadbudowę obiektu budowlanego przekraczające 50% całkowitych wydatków kwalifikowalnych projektu</w:t>
      </w:r>
      <w:bookmarkEnd w:id="9"/>
      <w:r w:rsidRPr="00DD0783">
        <w:rPr>
          <w:rFonts w:eastAsia="Times New Roman" w:cs="Times New Roman"/>
        </w:rPr>
        <w:t>.</w:t>
      </w:r>
    </w:p>
    <w:p w14:paraId="2DEE0DB5" w14:textId="77777777" w:rsidR="00954E4C" w:rsidRPr="00DD0783" w:rsidRDefault="00954E4C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C71537" w:rsidRPr="00DD0783">
        <w:rPr>
          <w:rStyle w:val="Odwoanieprzypisudolnego"/>
        </w:rPr>
        <w:footnoteReference w:id="17"/>
      </w:r>
      <w:r w:rsidR="001213D3" w:rsidRPr="00DD0783">
        <w:t>.</w:t>
      </w:r>
    </w:p>
    <w:p w14:paraId="2090B1EC" w14:textId="77777777" w:rsidR="00F64A55" w:rsidRPr="00DD0783" w:rsidRDefault="00F64A55" w:rsidP="001213D3">
      <w:pPr>
        <w:spacing w:after="0"/>
        <w:jc w:val="both"/>
        <w:rPr>
          <w:rFonts w:eastAsia="Times New Roman" w:cs="Times New Roman"/>
        </w:rPr>
      </w:pPr>
    </w:p>
    <w:p w14:paraId="6A06640D" w14:textId="77777777" w:rsidR="00A23F33" w:rsidRPr="00DD0783" w:rsidRDefault="00A23F33" w:rsidP="001B7507">
      <w:pPr>
        <w:spacing w:after="0"/>
        <w:jc w:val="both"/>
        <w:rPr>
          <w:rFonts w:eastAsia="Times New Roman" w:cs="Times New Roman"/>
          <w:b/>
        </w:rPr>
      </w:pPr>
      <w:r w:rsidRPr="00DD0783">
        <w:rPr>
          <w:rFonts w:eastAsia="Times New Roman" w:cs="Times New Roman"/>
          <w:b/>
        </w:rPr>
        <w:t>1.2 C</w:t>
      </w:r>
      <w:r w:rsidR="006B4515" w:rsidRPr="00DD0783">
        <w:rPr>
          <w:rFonts w:eastAsia="Times New Roman" w:cs="Times New Roman"/>
          <w:b/>
        </w:rPr>
        <w:t>:</w:t>
      </w:r>
    </w:p>
    <w:p w14:paraId="12394534" w14:textId="77777777"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przez Beneficjenta projektu grantowego (Grantodawcę) przekraczające 15% całkowitych wydatków kwalifikowalnych projektu grantowego.</w:t>
      </w:r>
    </w:p>
    <w:p w14:paraId="3A20A6BF" w14:textId="77777777" w:rsidR="00A23F33" w:rsidRPr="00DD0783" w:rsidRDefault="00A23F33" w:rsidP="003B2988">
      <w:pPr>
        <w:pStyle w:val="Akapitzlist"/>
        <w:spacing w:after="0"/>
        <w:jc w:val="both"/>
      </w:pPr>
    </w:p>
    <w:p w14:paraId="11A9B279" w14:textId="77777777" w:rsidR="00A23F33" w:rsidRPr="00DD0783" w:rsidRDefault="00C34307" w:rsidP="001B7507">
      <w:pPr>
        <w:spacing w:after="0"/>
        <w:jc w:val="both"/>
        <w:rPr>
          <w:b/>
        </w:rPr>
      </w:pPr>
      <w:r w:rsidRPr="00DD0783">
        <w:rPr>
          <w:b/>
        </w:rPr>
        <w:lastRenderedPageBreak/>
        <w:t xml:space="preserve">1.2 </w:t>
      </w:r>
      <w:r w:rsidR="00A23F33" w:rsidRPr="00DD0783">
        <w:rPr>
          <w:b/>
        </w:rPr>
        <w:t xml:space="preserve">D:  </w:t>
      </w:r>
    </w:p>
    <w:p w14:paraId="36309191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budowę, przebudowę, odbudowę, rozbudowę, nadbudowę obiektu budowlanego przekraczające 50% całkowitych wydatków kwalifikowalnych projektu.</w:t>
      </w:r>
    </w:p>
    <w:p w14:paraId="004D37B4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uzyskanie certyfikatów jakości dla instytucji, które zarządzają IOB.</w:t>
      </w:r>
    </w:p>
    <w:p w14:paraId="2D5EA791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234F41D7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Ze wsparcia wyłączone są wydatki na infrastrukturę administracyjną (np. o charakterze biurowym).</w:t>
      </w:r>
    </w:p>
    <w:p w14:paraId="329DA701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projektu.</w:t>
      </w:r>
    </w:p>
    <w:p w14:paraId="651C994B" w14:textId="77777777" w:rsidR="00A23F33" w:rsidRPr="00DD0783" w:rsidRDefault="00A23F33" w:rsidP="003B2988">
      <w:pPr>
        <w:pStyle w:val="Akapitzlist"/>
        <w:spacing w:after="0"/>
        <w:jc w:val="both"/>
      </w:pPr>
    </w:p>
    <w:p w14:paraId="1531BA79" w14:textId="77777777" w:rsidR="00A23F33" w:rsidRPr="00DD0783" w:rsidRDefault="00FD7775" w:rsidP="003B2988">
      <w:pPr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1.3 Rozwój przedsiębiorczości</w:t>
      </w:r>
      <w:r w:rsidR="006B4515" w:rsidRPr="00DD0783">
        <w:rPr>
          <w:b/>
        </w:rPr>
        <w:t>:</w:t>
      </w:r>
    </w:p>
    <w:p w14:paraId="2FCB80D6" w14:textId="77777777" w:rsidR="00A23F33" w:rsidRPr="00DD0783" w:rsidRDefault="00A23F33" w:rsidP="001B7507">
      <w:pPr>
        <w:spacing w:after="0"/>
        <w:jc w:val="both"/>
        <w:rPr>
          <w:b/>
        </w:rPr>
      </w:pPr>
      <w:r w:rsidRPr="00DD0783">
        <w:rPr>
          <w:b/>
        </w:rPr>
        <w:t>1.3</w:t>
      </w:r>
      <w:r w:rsidR="00C34307" w:rsidRPr="00DD0783">
        <w:rPr>
          <w:b/>
        </w:rPr>
        <w:t xml:space="preserve"> </w:t>
      </w:r>
      <w:r w:rsidRPr="00DD0783">
        <w:rPr>
          <w:b/>
        </w:rPr>
        <w:t>A:</w:t>
      </w:r>
    </w:p>
    <w:p w14:paraId="2D1A5328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wewnętrzną infrastrukturę komunikacyjną przewyższające 49% wartości projektu.</w:t>
      </w:r>
    </w:p>
    <w:p w14:paraId="65F4EEF6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zewnętrzną infrastrukturę komunikacyjną (drogi dojazdowe do terenów inwestycyjnych będących przedmiotem projektu).</w:t>
      </w:r>
    </w:p>
    <w:p w14:paraId="00802D83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zakup używanych środków trwałych innych niż budynki</w:t>
      </w:r>
      <w:r w:rsidR="002C3185" w:rsidRPr="00DD0783">
        <w:rPr>
          <w:rStyle w:val="Odwoanieprzypisudolnego"/>
          <w:rFonts w:eastAsia="Times New Roman" w:cs="Times New Roman"/>
        </w:rPr>
        <w:footnoteReference w:id="18"/>
      </w:r>
      <w:r w:rsidRPr="00DD0783">
        <w:rPr>
          <w:rFonts w:eastAsia="Times New Roman" w:cs="Times New Roman"/>
        </w:rPr>
        <w:t>.</w:t>
      </w:r>
    </w:p>
    <w:p w14:paraId="505E9B68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587CD40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cs="Arial"/>
        </w:rPr>
        <w:t>Wydatki na zakup środków transportu i urządzeń transportowych</w:t>
      </w:r>
      <w:r w:rsidR="00042236" w:rsidRPr="00DD0783">
        <w:rPr>
          <w:rStyle w:val="Odwoanieprzypisudolnego"/>
          <w:rFonts w:cs="Arial"/>
        </w:rPr>
        <w:footnoteReference w:id="19"/>
      </w:r>
      <w:r w:rsidRPr="00DD0783">
        <w:rPr>
          <w:rFonts w:cs="Arial"/>
        </w:rPr>
        <w:t>.</w:t>
      </w:r>
    </w:p>
    <w:p w14:paraId="47DFD1E9" w14:textId="77777777" w:rsidR="00A23F33" w:rsidRPr="00DD0783" w:rsidRDefault="00A23F33" w:rsidP="003B2988">
      <w:pPr>
        <w:pStyle w:val="Akapitzlist"/>
        <w:spacing w:after="0"/>
        <w:jc w:val="both"/>
      </w:pPr>
    </w:p>
    <w:p w14:paraId="7084B3A7" w14:textId="77777777" w:rsidR="00A23F33" w:rsidRPr="00DD0783" w:rsidRDefault="00A23F33" w:rsidP="001B7507">
      <w:pPr>
        <w:spacing w:after="0"/>
        <w:jc w:val="both"/>
        <w:rPr>
          <w:b/>
        </w:rPr>
      </w:pPr>
      <w:r w:rsidRPr="00DD0783">
        <w:rPr>
          <w:b/>
        </w:rPr>
        <w:t>1.3</w:t>
      </w:r>
      <w:r w:rsidR="00C34307" w:rsidRPr="00DD0783">
        <w:rPr>
          <w:b/>
        </w:rPr>
        <w:t xml:space="preserve"> </w:t>
      </w:r>
      <w:r w:rsidRPr="00DD0783">
        <w:rPr>
          <w:b/>
        </w:rPr>
        <w:t xml:space="preserve">B: </w:t>
      </w:r>
    </w:p>
    <w:p w14:paraId="2DED0FF8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zakup używanych środków trwałych innych niż budynki</w:t>
      </w:r>
      <w:r w:rsidR="00042236" w:rsidRPr="00DD0783">
        <w:rPr>
          <w:rStyle w:val="Odwoanieprzypisudolnego"/>
          <w:rFonts w:eastAsia="Times New Roman" w:cs="Times New Roman"/>
        </w:rPr>
        <w:footnoteReference w:id="20"/>
      </w:r>
      <w:r w:rsidRPr="00DD0783">
        <w:rPr>
          <w:rFonts w:eastAsia="Times New Roman" w:cs="Times New Roman"/>
        </w:rPr>
        <w:t>.</w:t>
      </w:r>
    </w:p>
    <w:p w14:paraId="7A8A7222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uzyskanie certyfikatów jakości dla instytucji, które zarządzają </w:t>
      </w:r>
      <w:r w:rsidRPr="00DD0783">
        <w:rPr>
          <w:rFonts w:cs="Arial"/>
        </w:rPr>
        <w:t>infrastrukturą dla przedsiębiorstw.</w:t>
      </w:r>
    </w:p>
    <w:p w14:paraId="2C4988C6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1C10E8A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cs="Arial"/>
        </w:rPr>
      </w:pPr>
      <w:r w:rsidRPr="00DD0783">
        <w:rPr>
          <w:rFonts w:cs="Arial"/>
        </w:rPr>
        <w:t xml:space="preserve">Wydatki na zakup środków transportu i urządzeń transportowych. </w:t>
      </w:r>
    </w:p>
    <w:p w14:paraId="4FBAF908" w14:textId="77777777" w:rsidR="00A23F33" w:rsidRPr="00DD0783" w:rsidRDefault="00A23F33" w:rsidP="003B2988">
      <w:pPr>
        <w:pStyle w:val="Akapitzlist"/>
        <w:spacing w:after="0"/>
        <w:jc w:val="both"/>
      </w:pPr>
    </w:p>
    <w:p w14:paraId="52F08CFC" w14:textId="77777777" w:rsidR="00A23F33" w:rsidRPr="00DD0783" w:rsidRDefault="00A23F33" w:rsidP="001B7507">
      <w:pPr>
        <w:spacing w:after="0"/>
        <w:jc w:val="both"/>
        <w:rPr>
          <w:b/>
        </w:rPr>
      </w:pPr>
      <w:r w:rsidRPr="00DD0783">
        <w:rPr>
          <w:b/>
        </w:rPr>
        <w:t>1.3</w:t>
      </w:r>
      <w:r w:rsidR="00C34307" w:rsidRPr="00DD0783">
        <w:rPr>
          <w:b/>
        </w:rPr>
        <w:t xml:space="preserve"> </w:t>
      </w:r>
      <w:r w:rsidRPr="00DD0783">
        <w:rPr>
          <w:b/>
        </w:rPr>
        <w:t>C:</w:t>
      </w:r>
    </w:p>
    <w:p w14:paraId="715D7AA8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uzyskanie przez IOB certyfikatów potwierdzających standard świadczonych usług doradczych.</w:t>
      </w:r>
    </w:p>
    <w:p w14:paraId="2A377A71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2D60FAD2" w14:textId="77777777" w:rsidR="00A23F33" w:rsidRPr="00DD0783" w:rsidRDefault="00A23F33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przez Beneficjenta projektu grantowego (Grantodawcę) przekraczające 15% całkowitych wydatków kwalifikowalnych projektu grantowego</w:t>
      </w:r>
      <w:r w:rsidR="00E76550" w:rsidRPr="00DD0783">
        <w:rPr>
          <w:rStyle w:val="Odwoanieprzypisudolnego"/>
          <w:rFonts w:eastAsia="Times New Roman" w:cs="Times New Roman"/>
        </w:rPr>
        <w:footnoteReference w:id="21"/>
      </w:r>
      <w:r w:rsidRPr="00DD0783">
        <w:rPr>
          <w:rFonts w:eastAsia="Times New Roman" w:cs="Times New Roman"/>
        </w:rPr>
        <w:t>.</w:t>
      </w:r>
    </w:p>
    <w:p w14:paraId="7C8325D9" w14:textId="77777777" w:rsidR="00A23F33" w:rsidRPr="00DD0783" w:rsidRDefault="00A23F33" w:rsidP="003B2988">
      <w:pPr>
        <w:pStyle w:val="Akapitzlist"/>
        <w:spacing w:after="0"/>
        <w:jc w:val="both"/>
        <w:rPr>
          <w:rFonts w:eastAsia="Times New Roman" w:cs="Times New Roman"/>
        </w:rPr>
      </w:pPr>
    </w:p>
    <w:p w14:paraId="4E4FF4AF" w14:textId="77777777" w:rsidR="00A23F33" w:rsidRPr="00DD0783" w:rsidRDefault="00FD7775" w:rsidP="003B2988">
      <w:pPr>
        <w:jc w:val="both"/>
        <w:rPr>
          <w:rFonts w:eastAsiaTheme="majorEastAsia" w:cstheme="majorBidi"/>
          <w:b/>
          <w:bCs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1.4</w:t>
      </w:r>
      <w:bookmarkStart w:id="11" w:name="_Toc194291240"/>
      <w:bookmarkStart w:id="12" w:name="_Toc209405135"/>
      <w:r w:rsidR="00A23F33" w:rsidRPr="00DD0783">
        <w:rPr>
          <w:b/>
        </w:rPr>
        <w:t xml:space="preserve"> </w:t>
      </w:r>
      <w:bookmarkEnd w:id="11"/>
      <w:bookmarkEnd w:id="12"/>
      <w:r w:rsidR="00A23F33" w:rsidRPr="00DD0783">
        <w:rPr>
          <w:rFonts w:eastAsiaTheme="majorEastAsia" w:cstheme="majorBidi"/>
          <w:b/>
          <w:bCs/>
        </w:rPr>
        <w:t>Internacjonalizacja przedsiębiorstw</w:t>
      </w:r>
      <w:r w:rsidR="006B4515" w:rsidRPr="00DD0783">
        <w:rPr>
          <w:rFonts w:eastAsiaTheme="majorEastAsia" w:cstheme="majorBidi"/>
          <w:b/>
          <w:bCs/>
        </w:rPr>
        <w:t>:</w:t>
      </w:r>
    </w:p>
    <w:p w14:paraId="6C6ACB57" w14:textId="77777777" w:rsidR="00A23F33" w:rsidRPr="00DD0783" w:rsidRDefault="00A23F33" w:rsidP="003B2988">
      <w:pPr>
        <w:spacing w:before="40" w:after="40"/>
        <w:ind w:left="33"/>
        <w:jc w:val="both"/>
      </w:pPr>
      <w:r w:rsidRPr="00DD0783">
        <w:rPr>
          <w:b/>
        </w:rPr>
        <w:t>1.4</w:t>
      </w:r>
      <w:r w:rsidR="00C34307" w:rsidRPr="00DD0783">
        <w:rPr>
          <w:b/>
        </w:rPr>
        <w:t xml:space="preserve"> </w:t>
      </w:r>
      <w:r w:rsidRPr="00DD0783">
        <w:rPr>
          <w:b/>
        </w:rPr>
        <w:t>A:</w:t>
      </w:r>
      <w:r w:rsidRPr="00DD0783">
        <w:t xml:space="preserve"> </w:t>
      </w:r>
    </w:p>
    <w:p w14:paraId="5807CCC7" w14:textId="77777777" w:rsidR="00A23F33" w:rsidRPr="00DD0783" w:rsidRDefault="00A23F33" w:rsidP="00E71C56">
      <w:pPr>
        <w:pStyle w:val="Akapitzlist"/>
        <w:numPr>
          <w:ilvl w:val="0"/>
          <w:numId w:val="22"/>
        </w:numPr>
        <w:spacing w:before="40" w:after="40"/>
        <w:jc w:val="both"/>
        <w:rPr>
          <w:rFonts w:eastAsiaTheme="majorEastAsia" w:cstheme="majorBidi"/>
          <w:bCs/>
        </w:rPr>
      </w:pPr>
      <w:r w:rsidRPr="00DD0783">
        <w:rPr>
          <w:rFonts w:eastAsiaTheme="majorEastAsia" w:cstheme="majorBidi"/>
          <w:bCs/>
        </w:rPr>
        <w:lastRenderedPageBreak/>
        <w:t>Wydatki związane z działaniami informacyjno-promocyjnymi projektu</w:t>
      </w:r>
      <w:r w:rsidR="00C71537" w:rsidRPr="00DD0783">
        <w:rPr>
          <w:rStyle w:val="Odwoanieprzypisudolnego"/>
          <w:rFonts w:eastAsiaTheme="majorEastAsia" w:cstheme="majorBidi"/>
          <w:bCs/>
        </w:rPr>
        <w:footnoteReference w:id="22"/>
      </w:r>
      <w:r w:rsidRPr="00DD0783">
        <w:rPr>
          <w:rFonts w:eastAsiaTheme="majorEastAsia" w:cstheme="majorBidi"/>
          <w:bCs/>
        </w:rPr>
        <w:t>.</w:t>
      </w:r>
    </w:p>
    <w:p w14:paraId="3E47D804" w14:textId="77777777" w:rsidR="00A23F33" w:rsidRPr="00DD0783" w:rsidRDefault="00A23F33" w:rsidP="003B2988">
      <w:pPr>
        <w:pStyle w:val="Akapitzlist"/>
        <w:spacing w:after="0"/>
        <w:jc w:val="both"/>
        <w:rPr>
          <w:b/>
        </w:rPr>
      </w:pPr>
    </w:p>
    <w:p w14:paraId="6536F69B" w14:textId="77777777" w:rsidR="00A23F33" w:rsidRPr="00DD0783" w:rsidRDefault="00A23F33" w:rsidP="003B2988">
      <w:pPr>
        <w:spacing w:before="40" w:after="40"/>
        <w:ind w:left="33"/>
        <w:jc w:val="both"/>
      </w:pPr>
      <w:r w:rsidRPr="00DD0783">
        <w:rPr>
          <w:b/>
        </w:rPr>
        <w:t>1.4</w:t>
      </w:r>
      <w:r w:rsidR="00C34307" w:rsidRPr="00DD0783">
        <w:rPr>
          <w:b/>
        </w:rPr>
        <w:t xml:space="preserve"> </w:t>
      </w:r>
      <w:r w:rsidRPr="00DD0783">
        <w:rPr>
          <w:b/>
        </w:rPr>
        <w:t>B</w:t>
      </w:r>
      <w:r w:rsidR="00C34307" w:rsidRPr="00DD0783">
        <w:rPr>
          <w:b/>
        </w:rPr>
        <w:t xml:space="preserve"> </w:t>
      </w:r>
      <w:r w:rsidRPr="00DD0783">
        <w:rPr>
          <w:b/>
        </w:rPr>
        <w:t>ab:</w:t>
      </w:r>
      <w:r w:rsidRPr="00DD0783">
        <w:t xml:space="preserve"> </w:t>
      </w:r>
    </w:p>
    <w:p w14:paraId="089F7A65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/>
          <w:bCs/>
        </w:rPr>
      </w:pPr>
      <w:r w:rsidRPr="00DD0783">
        <w:rPr>
          <w:rFonts w:eastAsiaTheme="majorEastAsia" w:cstheme="majorBidi"/>
          <w:bCs/>
        </w:rPr>
        <w:t>Wydatki na usługi będące w zakresie działania 1.4</w:t>
      </w:r>
      <w:r w:rsidR="00C34307" w:rsidRPr="00DD0783">
        <w:rPr>
          <w:rFonts w:eastAsiaTheme="majorEastAsia" w:cstheme="majorBidi"/>
          <w:bCs/>
        </w:rPr>
        <w:t xml:space="preserve"> </w:t>
      </w:r>
      <w:r w:rsidRPr="00DD0783">
        <w:rPr>
          <w:rFonts w:eastAsiaTheme="majorEastAsia" w:cstheme="majorBidi"/>
          <w:bCs/>
        </w:rPr>
        <w:t xml:space="preserve">A a. </w:t>
      </w:r>
    </w:p>
    <w:p w14:paraId="69271F40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rPr>
          <w:rFonts w:eastAsiaTheme="majorEastAsia" w:cstheme="majorBidi"/>
          <w:bCs/>
        </w:rPr>
        <w:t>Wydatki na roboty budowlane, materiały budowlane, niezbędne do budowy, przebudowy i</w:t>
      </w:r>
      <w:r w:rsidR="003B2988" w:rsidRPr="00DD0783">
        <w:rPr>
          <w:rFonts w:eastAsiaTheme="majorEastAsia" w:cstheme="majorBidi"/>
          <w:bCs/>
        </w:rPr>
        <w:t> </w:t>
      </w:r>
      <w:r w:rsidRPr="00DD0783">
        <w:rPr>
          <w:rFonts w:eastAsiaTheme="majorEastAsia" w:cstheme="majorBidi"/>
          <w:bCs/>
        </w:rPr>
        <w:t>rozbudowy budynków, zakup budynków i budowli oraz gruntów, a także nieruchomości zabudowanej.</w:t>
      </w:r>
    </w:p>
    <w:p w14:paraId="1CE6BAAF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rPr>
          <w:rFonts w:eastAsiaTheme="majorEastAsia" w:cstheme="majorBidi"/>
          <w:bCs/>
        </w:rPr>
        <w:t xml:space="preserve">W przypadku wyjazdów biznesowych wydatkami niekwalifikowalnymi są wydatki analogiczne jak w działaniu 1.4 </w:t>
      </w:r>
      <w:r w:rsidR="00F64A55" w:rsidRPr="00DD0783">
        <w:rPr>
          <w:rFonts w:eastAsiaTheme="majorEastAsia" w:cstheme="majorBidi"/>
          <w:bCs/>
        </w:rPr>
        <w:t>B c</w:t>
      </w:r>
      <w:r w:rsidRPr="00DD0783">
        <w:rPr>
          <w:rFonts w:eastAsiaTheme="majorEastAsia" w:cstheme="majorBidi"/>
          <w:bCs/>
        </w:rPr>
        <w:t>.</w:t>
      </w:r>
    </w:p>
    <w:p w14:paraId="5A949CA5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rPr>
          <w:rFonts w:eastAsia="Times New Roman" w:cs="Times New Roman"/>
        </w:rPr>
        <w:t>Wydatki na wynagrodzenia będące efektem tworzenia nowych miejsc pracy.</w:t>
      </w:r>
    </w:p>
    <w:p w14:paraId="124A5450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23"/>
      </w:r>
      <w:r w:rsidRPr="00DD0783">
        <w:t>.</w:t>
      </w:r>
    </w:p>
    <w:p w14:paraId="489149E5" w14:textId="77777777" w:rsidR="00A23F33" w:rsidRPr="00DD0783" w:rsidRDefault="00A23F33" w:rsidP="003B2988">
      <w:pPr>
        <w:pStyle w:val="Akapitzlist"/>
        <w:spacing w:after="0"/>
        <w:jc w:val="both"/>
        <w:rPr>
          <w:rFonts w:eastAsiaTheme="majorEastAsia" w:cstheme="majorBidi"/>
          <w:b/>
          <w:bCs/>
        </w:rPr>
      </w:pPr>
    </w:p>
    <w:p w14:paraId="08CC9EF3" w14:textId="77777777" w:rsidR="00A23F33" w:rsidRPr="00DD0783" w:rsidRDefault="00A23F33" w:rsidP="003B2988">
      <w:pPr>
        <w:spacing w:before="40" w:after="40"/>
        <w:ind w:left="33"/>
        <w:jc w:val="both"/>
        <w:rPr>
          <w:b/>
        </w:rPr>
      </w:pPr>
      <w:r w:rsidRPr="00DD0783">
        <w:rPr>
          <w:b/>
        </w:rPr>
        <w:t>1.4</w:t>
      </w:r>
      <w:r w:rsidR="00C34307" w:rsidRPr="00DD0783">
        <w:rPr>
          <w:b/>
        </w:rPr>
        <w:t xml:space="preserve"> </w:t>
      </w:r>
      <w:r w:rsidRPr="00DD0783">
        <w:rPr>
          <w:b/>
        </w:rPr>
        <w:t>B</w:t>
      </w:r>
      <w:r w:rsidR="00C34307" w:rsidRPr="00DD0783">
        <w:rPr>
          <w:b/>
        </w:rPr>
        <w:t xml:space="preserve"> </w:t>
      </w:r>
      <w:r w:rsidRPr="00DD0783">
        <w:rPr>
          <w:b/>
        </w:rPr>
        <w:t xml:space="preserve">c: </w:t>
      </w:r>
    </w:p>
    <w:p w14:paraId="2CFA9211" w14:textId="77777777" w:rsidR="00A23F33" w:rsidRPr="00DD0783" w:rsidRDefault="00A23F33" w:rsidP="00E71C56">
      <w:pPr>
        <w:pStyle w:val="Akapitzlist"/>
        <w:numPr>
          <w:ilvl w:val="0"/>
          <w:numId w:val="3"/>
        </w:numPr>
        <w:jc w:val="both"/>
        <w:rPr>
          <w:rFonts w:eastAsiaTheme="majorEastAsia" w:cstheme="majorBidi"/>
          <w:b/>
          <w:bCs/>
        </w:rPr>
      </w:pPr>
      <w:r w:rsidRPr="00DD0783">
        <w:rPr>
          <w:rFonts w:eastAsiaTheme="majorEastAsia" w:cstheme="majorBidi"/>
          <w:bCs/>
        </w:rPr>
        <w:t>Wydatki na usługi będące w zakresie działania 1.4</w:t>
      </w:r>
      <w:r w:rsidR="00C34307" w:rsidRPr="00DD0783">
        <w:rPr>
          <w:rFonts w:eastAsiaTheme="majorEastAsia" w:cstheme="majorBidi"/>
          <w:bCs/>
        </w:rPr>
        <w:t xml:space="preserve"> </w:t>
      </w:r>
      <w:r w:rsidRPr="00DD0783">
        <w:rPr>
          <w:rFonts w:eastAsiaTheme="majorEastAsia" w:cstheme="majorBidi"/>
          <w:bCs/>
        </w:rPr>
        <w:t>A b.</w:t>
      </w:r>
    </w:p>
    <w:p w14:paraId="23C25C16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Podróże służbowe przedstawicieli </w:t>
      </w:r>
      <w:r w:rsidR="00261786" w:rsidRPr="00DD0783">
        <w:rPr>
          <w:rFonts w:eastAsia="Times New Roman" w:cs="Times New Roman"/>
        </w:rPr>
        <w:t>B</w:t>
      </w:r>
      <w:r w:rsidR="00042236" w:rsidRPr="00DD0783">
        <w:rPr>
          <w:rFonts w:eastAsia="Times New Roman" w:cs="Times New Roman"/>
        </w:rPr>
        <w:t xml:space="preserve">eneficjenta uczestniczących w </w:t>
      </w:r>
      <w:r w:rsidRPr="00DD0783">
        <w:rPr>
          <w:rFonts w:eastAsia="Times New Roman" w:cs="Times New Roman"/>
        </w:rPr>
        <w:t xml:space="preserve">imprezach wystawienniczych i targowych (transport, diety), powyżej 5 osób. </w:t>
      </w:r>
    </w:p>
    <w:p w14:paraId="72537D86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Koszty podróży inne niż ryczałtowe określone w odpowiednich przepisach prawa oraz inne niż bilety. </w:t>
      </w:r>
    </w:p>
    <w:p w14:paraId="08036D1A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Dotacje na udział w targach/wystawach/misjach dla przedsiębiorców mających siedzibę lub prowadzących działalność gospodarczą poza granicami administracyjnymi województwa dolnośląskiego.</w:t>
      </w:r>
    </w:p>
    <w:p w14:paraId="067D35D2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udział w misji więcej niż 5 przedstawicieli jednego przedsiębiorcy oraz dwóch przedstawicieli Organizatora.</w:t>
      </w:r>
    </w:p>
    <w:p w14:paraId="0C8675AF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przejazd, zakwaterowanie i diety przedstawicieli Organizatora misji (</w:t>
      </w:r>
      <w:r w:rsidR="0040430E" w:rsidRPr="00DD0783">
        <w:rPr>
          <w:rFonts w:eastAsia="Times New Roman" w:cs="Times New Roman"/>
        </w:rPr>
        <w:t>B</w:t>
      </w:r>
      <w:r w:rsidRPr="00DD0783">
        <w:rPr>
          <w:rFonts w:eastAsia="Times New Roman" w:cs="Times New Roman"/>
        </w:rPr>
        <w:t>eneficjenta) wcześniej niż 2 dni przed i później niż 1 dzień po misji gospodarczej.</w:t>
      </w:r>
    </w:p>
    <w:p w14:paraId="1D5D7D7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Zakwaterowanie przedstawicieli </w:t>
      </w:r>
      <w:r w:rsidR="00981291" w:rsidRPr="00DD0783">
        <w:rPr>
          <w:rFonts w:eastAsia="Times New Roman" w:cs="Times New Roman"/>
        </w:rPr>
        <w:t>B</w:t>
      </w:r>
      <w:r w:rsidRPr="00DD0783">
        <w:rPr>
          <w:rFonts w:eastAsia="Times New Roman" w:cs="Times New Roman"/>
        </w:rPr>
        <w:t>eneficjenta wcześniej niż 1 dzień przed i później niż 1 dzień po targach, wystawach oraz powyżej 5 osób.</w:t>
      </w:r>
    </w:p>
    <w:p w14:paraId="26A3DFC1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udział w targach/misjach/wystawach poniesione przed złożeniem wniosku o dofinansowanie z wyłączeniem wydatków związanych z wpłatą zaliczki na udział w wydarzeniach gospodarczych (w szczególności rezerwacja powierzchni wystawienniczej, rezerwacja noclegu dla przedstawicieli Beneficjenta).</w:t>
      </w:r>
    </w:p>
    <w:p w14:paraId="77CBC38E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24"/>
      </w:r>
      <w:r w:rsidRPr="00DD0783">
        <w:t>.</w:t>
      </w:r>
    </w:p>
    <w:p w14:paraId="5F1A139F" w14:textId="77777777" w:rsidR="00A23F33" w:rsidRPr="00DD0783" w:rsidRDefault="00A23F33" w:rsidP="003B2988">
      <w:pPr>
        <w:pStyle w:val="Akapitzlist"/>
        <w:spacing w:after="0"/>
        <w:jc w:val="both"/>
      </w:pPr>
    </w:p>
    <w:p w14:paraId="066FB07A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 xml:space="preserve">1.5 </w:t>
      </w:r>
      <w:r w:rsidR="00A23F33" w:rsidRPr="00DD0783">
        <w:rPr>
          <w:rFonts w:eastAsiaTheme="majorEastAsia" w:cstheme="majorBidi"/>
          <w:b/>
          <w:bCs/>
        </w:rPr>
        <w:t>Rozwój produktów i usług w MŚP</w:t>
      </w:r>
      <w:r w:rsidR="006B4515" w:rsidRPr="00DD0783">
        <w:rPr>
          <w:rFonts w:eastAsiaTheme="majorEastAsia" w:cstheme="majorBidi"/>
          <w:b/>
          <w:bCs/>
        </w:rPr>
        <w:t>:</w:t>
      </w:r>
    </w:p>
    <w:p w14:paraId="05D1F983" w14:textId="77777777" w:rsidR="00A23F33" w:rsidRPr="00DD0783" w:rsidRDefault="00A23F33" w:rsidP="001B7507">
      <w:pPr>
        <w:spacing w:after="0"/>
        <w:jc w:val="both"/>
      </w:pPr>
      <w:r w:rsidRPr="00DD0783">
        <w:t>Wsparcie dotacyjne:</w:t>
      </w:r>
    </w:p>
    <w:p w14:paraId="635DCB1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związane z bieżącymi naprawami maszyn/parku maszynowego. </w:t>
      </w:r>
    </w:p>
    <w:p w14:paraId="2045FE0A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Budowa/przebudowa/rozbudowa/modernizacja nieruchomości zabudowanej powyżej 25% całkowitych wydatków kwalifikowalnych projektu. </w:t>
      </w:r>
    </w:p>
    <w:p w14:paraId="382F8BB1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lastRenderedPageBreak/>
        <w:t>Wydatki przeznaczone na oprogramowanie dedykowane.</w:t>
      </w:r>
    </w:p>
    <w:p w14:paraId="130ED8C6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poniesione na budowę, przebudowę, rozbudowę, modernizację lub nabycie nieruchomości w celu prowadzenia działalności związanej z wynajmem </w:t>
      </w:r>
      <w:r w:rsidRPr="00DD0783">
        <w:t xml:space="preserve"> </w:t>
      </w:r>
      <w:r w:rsidRPr="00DD0783">
        <w:rPr>
          <w:rFonts w:eastAsia="Times New Roman" w:cs="Times New Roman"/>
        </w:rPr>
        <w:t>(nie dotyczy usług hotelarskich w rozumieniu art. 36 ustawy o usługach turystycznych</w:t>
      </w:r>
      <w:r w:rsidR="005A77B8" w:rsidRPr="00DD0783">
        <w:rPr>
          <w:rStyle w:val="Odwoanieprzypisudolnego"/>
          <w:rFonts w:eastAsia="Times New Roman" w:cs="Times New Roman"/>
        </w:rPr>
        <w:footnoteReference w:id="25"/>
      </w:r>
      <w:r w:rsidRPr="00DD0783">
        <w:rPr>
          <w:rFonts w:eastAsia="Times New Roman" w:cs="Times New Roman"/>
        </w:rPr>
        <w:t xml:space="preserve">). </w:t>
      </w:r>
    </w:p>
    <w:p w14:paraId="3B9EE4BE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Wkład niepieniężny stanowiący część wkładu własnego przekraczający 10% całkowitych wydatków kwalifikowalnych.</w:t>
      </w:r>
    </w:p>
    <w:p w14:paraId="59BA2B6F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26"/>
      </w:r>
      <w:r w:rsidRPr="00DD0783">
        <w:t>.</w:t>
      </w:r>
    </w:p>
    <w:p w14:paraId="56211611" w14:textId="77777777" w:rsidR="00A23F33" w:rsidRPr="00DD0783" w:rsidRDefault="00A23F33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Szacunkowe koszty płacy wynikające z utworzenia miejsc pracy w następstwie inwestycji początkowej</w:t>
      </w:r>
      <w:r w:rsidR="00E76550" w:rsidRPr="00DD0783">
        <w:rPr>
          <w:rStyle w:val="Odwoanieprzypisudolnego"/>
          <w:rFonts w:eastAsia="Times New Roman" w:cs="Times New Roman"/>
        </w:rPr>
        <w:footnoteReference w:id="27"/>
      </w:r>
      <w:r w:rsidRPr="00DD0783">
        <w:rPr>
          <w:rFonts w:eastAsia="Times New Roman" w:cs="Times New Roman"/>
        </w:rPr>
        <w:t>.</w:t>
      </w:r>
    </w:p>
    <w:p w14:paraId="4E5874B9" w14:textId="77777777" w:rsidR="00A23F33" w:rsidRDefault="00A23F33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Połączenie kosztów wchodzących w zakres </w:t>
      </w:r>
      <w:r w:rsidR="00176EB7" w:rsidRPr="00DD0783">
        <w:rPr>
          <w:rFonts w:eastAsia="Times New Roman" w:cs="Times New Roman"/>
        </w:rPr>
        <w:t xml:space="preserve">art. 14 </w:t>
      </w:r>
      <w:r w:rsidR="00405F6A" w:rsidRPr="00DD0783">
        <w:rPr>
          <w:rFonts w:eastAsia="Times New Roman" w:cs="Times New Roman"/>
        </w:rPr>
        <w:t>GBER</w:t>
      </w:r>
      <w:r w:rsidR="00405F6A" w:rsidRPr="00DD0783" w:rsidDel="00176EB7">
        <w:rPr>
          <w:rFonts w:eastAsia="Times New Roman" w:cs="Times New Roman"/>
        </w:rPr>
        <w:t xml:space="preserve"> </w:t>
      </w:r>
      <w:r w:rsidR="006D7B9D" w:rsidRPr="00DD0783">
        <w:rPr>
          <w:rFonts w:eastAsia="Times New Roman" w:cs="Times New Roman"/>
        </w:rPr>
        <w:t>ust</w:t>
      </w:r>
      <w:r w:rsidRPr="00DD0783">
        <w:rPr>
          <w:rFonts w:eastAsia="Times New Roman" w:cs="Times New Roman"/>
        </w:rPr>
        <w:t>.</w:t>
      </w:r>
      <w:r w:rsidR="006D7B9D" w:rsidRPr="00DD0783">
        <w:rPr>
          <w:rFonts w:eastAsia="Times New Roman" w:cs="Times New Roman"/>
        </w:rPr>
        <w:t xml:space="preserve"> 4</w:t>
      </w:r>
      <w:r w:rsidR="00176EB7" w:rsidRPr="00DD0783">
        <w:rPr>
          <w:rFonts w:eastAsia="Times New Roman" w:cs="Times New Roman"/>
        </w:rPr>
        <w:t xml:space="preserve"> lit. a) i b)</w:t>
      </w:r>
      <w:r w:rsidR="00E76550" w:rsidRPr="00DD0783">
        <w:rPr>
          <w:rStyle w:val="Odwoanieprzypisudolnego"/>
          <w:rFonts w:eastAsia="Times New Roman" w:cs="Times New Roman"/>
        </w:rPr>
        <w:footnoteReference w:id="28"/>
      </w:r>
      <w:r w:rsidR="00C34307" w:rsidRPr="00DD0783">
        <w:rPr>
          <w:rFonts w:eastAsia="Times New Roman" w:cs="Times New Roman"/>
        </w:rPr>
        <w:t>.</w:t>
      </w:r>
      <w:r w:rsidR="00176EB7" w:rsidRPr="00DD0783">
        <w:rPr>
          <w:rFonts w:eastAsia="Times New Roman" w:cs="Times New Roman"/>
        </w:rPr>
        <w:t xml:space="preserve"> </w:t>
      </w:r>
    </w:p>
    <w:p w14:paraId="3282C249" w14:textId="77777777" w:rsidR="00214A63" w:rsidRDefault="00214A63" w:rsidP="001B7507">
      <w:pPr>
        <w:spacing w:after="0"/>
        <w:jc w:val="both"/>
        <w:rPr>
          <w:rFonts w:eastAsia="Times New Roman" w:cs="Times New Roman"/>
        </w:rPr>
      </w:pPr>
      <w:r w:rsidRPr="002955DC">
        <w:rPr>
          <w:rFonts w:eastAsia="Times New Roman" w:cs="Times New Roman"/>
          <w:b/>
        </w:rPr>
        <w:t>1.5 A</w:t>
      </w:r>
      <w:r w:rsidR="00AF3591">
        <w:rPr>
          <w:rStyle w:val="Odwoanieprzypisudolnego"/>
          <w:rFonts w:eastAsia="Times New Roman" w:cs="Times New Roman"/>
          <w:b/>
        </w:rPr>
        <w:footnoteReference w:id="29"/>
      </w:r>
      <w:r>
        <w:rPr>
          <w:rFonts w:eastAsia="Times New Roman" w:cs="Times New Roman"/>
        </w:rPr>
        <w:t>:</w:t>
      </w:r>
    </w:p>
    <w:p w14:paraId="5D6445A2" w14:textId="77777777" w:rsidR="001B7507" w:rsidRPr="0054205A" w:rsidRDefault="001B7507" w:rsidP="00E71C5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eastAsia="Times New Roman" w:cs="Times New Roman"/>
        </w:rPr>
        <w:t>Wszystkie wydatki, których nie można uznać za:</w:t>
      </w:r>
    </w:p>
    <w:p w14:paraId="6AD02CE5" w14:textId="77777777" w:rsidR="001B7507" w:rsidRDefault="001B7507" w:rsidP="00E71C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zakup </w:t>
      </w:r>
      <w:r w:rsidRPr="00D20920">
        <w:rPr>
          <w:rFonts w:ascii="Calibri" w:hAnsi="Calibri" w:cs="Calibri"/>
          <w:color w:val="000000"/>
        </w:rPr>
        <w:t xml:space="preserve"> ruchomych środków trwałych</w:t>
      </w:r>
      <w:r>
        <w:rPr>
          <w:rFonts w:ascii="Calibri" w:hAnsi="Calibri" w:cs="Calibri"/>
          <w:color w:val="000000"/>
        </w:rPr>
        <w:t>,</w:t>
      </w:r>
    </w:p>
    <w:p w14:paraId="4F572D40" w14:textId="77777777" w:rsidR="001B7507" w:rsidRDefault="001B7507" w:rsidP="001B7507">
      <w:pPr>
        <w:jc w:val="both"/>
        <w:rPr>
          <w:rFonts w:eastAsia="Times New Roman" w:cs="Times New Roman"/>
        </w:rPr>
      </w:pPr>
      <w:r w:rsidRPr="0054205A">
        <w:rPr>
          <w:rFonts w:ascii="Calibri" w:hAnsi="Calibri" w:cs="Calibri"/>
          <w:color w:val="000000"/>
        </w:rPr>
        <w:t>zakup wartości niematerialn</w:t>
      </w:r>
      <w:r>
        <w:rPr>
          <w:rFonts w:ascii="Calibri" w:hAnsi="Calibri" w:cs="Calibri"/>
          <w:color w:val="000000"/>
        </w:rPr>
        <w:t>ych</w:t>
      </w:r>
      <w:r w:rsidRPr="0054205A">
        <w:rPr>
          <w:rFonts w:ascii="Calibri" w:hAnsi="Calibri" w:cs="Calibri"/>
          <w:color w:val="000000"/>
        </w:rPr>
        <w:t xml:space="preserve"> i prawnych.</w:t>
      </w:r>
    </w:p>
    <w:p w14:paraId="5E6FC4FE" w14:textId="77777777" w:rsidR="00A23F33" w:rsidRPr="00DD0783" w:rsidRDefault="00FD7775" w:rsidP="001B7507">
      <w:pPr>
        <w:spacing w:after="0"/>
        <w:jc w:val="both"/>
        <w:rPr>
          <w:rFonts w:eastAsia="Calibri"/>
          <w:b/>
        </w:rPr>
      </w:pPr>
      <w:r w:rsidRPr="00DD0783">
        <w:rPr>
          <w:b/>
        </w:rPr>
        <w:t>Działanie</w:t>
      </w:r>
      <w:r w:rsidRPr="00DD0783">
        <w:rPr>
          <w:rFonts w:eastAsia="Calibri"/>
          <w:b/>
        </w:rPr>
        <w:t xml:space="preserve"> </w:t>
      </w:r>
      <w:r w:rsidR="00A23F33" w:rsidRPr="00DD0783">
        <w:rPr>
          <w:rFonts w:eastAsia="Calibri"/>
          <w:b/>
        </w:rPr>
        <w:t xml:space="preserve">2.1 Technologie informacyjno-komunikacyjne: </w:t>
      </w:r>
    </w:p>
    <w:p w14:paraId="00E52ED3" w14:textId="77777777" w:rsidR="00A23F33" w:rsidRPr="00DD0783" w:rsidRDefault="00A23F33" w:rsidP="00E71C56">
      <w:pPr>
        <w:pStyle w:val="Akapitzlist"/>
        <w:numPr>
          <w:ilvl w:val="0"/>
          <w:numId w:val="18"/>
        </w:numPr>
        <w:spacing w:after="0"/>
        <w:jc w:val="both"/>
        <w:rPr>
          <w:rFonts w:eastAsia="Calibri"/>
        </w:rPr>
      </w:pPr>
      <w:r w:rsidRPr="00DD0783">
        <w:rPr>
          <w:rFonts w:eastAsia="Calibri"/>
        </w:rPr>
        <w:t>Wydatki na utrzymanie dotychczasowej infrastruktury i wydatki bieżące: np. koszt dzierżawy łącz.</w:t>
      </w:r>
    </w:p>
    <w:p w14:paraId="7342135D" w14:textId="77777777" w:rsidR="00A23F33" w:rsidRPr="00DD0783" w:rsidRDefault="00A23F33" w:rsidP="00E71C56">
      <w:pPr>
        <w:pStyle w:val="Akapitzlist"/>
        <w:numPr>
          <w:ilvl w:val="0"/>
          <w:numId w:val="18"/>
        </w:numPr>
        <w:jc w:val="both"/>
        <w:rPr>
          <w:rFonts w:eastAsia="Calibri"/>
        </w:rPr>
      </w:pPr>
      <w:r w:rsidRPr="00DD0783">
        <w:rPr>
          <w:rFonts w:eastAsia="Calibri"/>
        </w:rPr>
        <w:t>Wydatki na usługi związane z np. prowadzeniem serwisu www, kont poczty elektronicznej, utrzymaniem/hostingiem/hotelingiem serwerów, rejestracją i utrzymaniem domen – powyżej 5% kosztów kwalifikowalnych projektów</w:t>
      </w:r>
      <w:r w:rsidR="009261C8" w:rsidRPr="00DD0783">
        <w:rPr>
          <w:rFonts w:eastAsia="Calibri"/>
        </w:rPr>
        <w:t xml:space="preserve"> (nie dotyczy wydatków związanych </w:t>
      </w:r>
      <w:r w:rsidR="009261C8" w:rsidRPr="00DD0783">
        <w:rPr>
          <w:rFonts w:eastAsia="Calibri"/>
        </w:rPr>
        <w:br/>
        <w:t>z modelem chmury obliczeniowej)</w:t>
      </w:r>
      <w:r w:rsidRPr="00DD0783">
        <w:rPr>
          <w:rFonts w:eastAsia="Calibri"/>
        </w:rPr>
        <w:t>.</w:t>
      </w:r>
    </w:p>
    <w:p w14:paraId="48EDD843" w14:textId="77777777" w:rsidR="00A23F33" w:rsidRPr="00DD0783" w:rsidRDefault="00A23F33" w:rsidP="00E71C56">
      <w:pPr>
        <w:pStyle w:val="Akapitzlist"/>
        <w:numPr>
          <w:ilvl w:val="0"/>
          <w:numId w:val="10"/>
        </w:numPr>
        <w:jc w:val="both"/>
        <w:rPr>
          <w:rFonts w:eastAsia="Calibri" w:cs="Times New Roman"/>
        </w:rPr>
      </w:pPr>
      <w:r w:rsidRPr="00DD0783">
        <w:rPr>
          <w:rFonts w:eastAsia="Calibri" w:cs="Times New Roman"/>
        </w:rPr>
        <w:t>Koszty adaptacji pomieszczeń dla celów realizacji projektów powyżej 20% łącznych kosztów wynajmu lub utrzymania budynków</w:t>
      </w:r>
      <w:r w:rsidR="009261C8" w:rsidRPr="00DD0783">
        <w:rPr>
          <w:rFonts w:eastAsia="Calibri" w:cs="Times New Roman"/>
        </w:rPr>
        <w:t xml:space="preserve"> (</w:t>
      </w:r>
      <w:r w:rsidR="009261C8" w:rsidRPr="00DD0783">
        <w:rPr>
          <w:rFonts w:eastAsia="Calibri" w:cs="Times New Roman"/>
          <w:lang w:eastAsia="en-US"/>
        </w:rPr>
        <w:t>koszty utrzymania budynku stanowią łącznie wszystkie opłaty (koszty) ponoszone w celu utrzymania danego budynku. Metodologia wyliczenia przedmiotowych kosztów powinna odnosić się do kosztów w skali jednego roku)</w:t>
      </w:r>
      <w:r w:rsidRPr="00DD0783">
        <w:rPr>
          <w:rFonts w:eastAsia="Calibri" w:cs="Times New Roman"/>
        </w:rPr>
        <w:t xml:space="preserve">. </w:t>
      </w:r>
    </w:p>
    <w:p w14:paraId="5C75D6BE" w14:textId="77777777" w:rsidR="00A23F33" w:rsidRPr="00DD0783" w:rsidRDefault="00A23F33" w:rsidP="00E71C56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eastAsia="Calibri"/>
        </w:rPr>
      </w:pPr>
      <w:r w:rsidRPr="00DD0783">
        <w:rPr>
          <w:rFonts w:eastAsia="Calibri" w:cs="Times New Roman"/>
        </w:rPr>
        <w:t>Wydatki na sprzęt służący</w:t>
      </w:r>
      <w:r w:rsidRPr="00DD0783">
        <w:rPr>
          <w:rFonts w:eastAsia="Calibri"/>
        </w:rPr>
        <w:t xml:space="preserve"> digitalizacji przekraczające 49% całkowitych wydatków kwalifikowalnych projektu.</w:t>
      </w:r>
    </w:p>
    <w:p w14:paraId="2FBC1D27" w14:textId="77777777" w:rsidR="009261C8" w:rsidRPr="00DD0783" w:rsidRDefault="009261C8" w:rsidP="00E71C56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eastAsia="Calibri"/>
        </w:rPr>
      </w:pPr>
      <w:r w:rsidRPr="00DD0783">
        <w:rPr>
          <w:rFonts w:eastAsia="Calibri"/>
        </w:rPr>
        <w:t>Środki transportu</w:t>
      </w:r>
      <w:r w:rsidR="00FD7775" w:rsidRPr="00DD0783">
        <w:rPr>
          <w:rStyle w:val="Odwoanieprzypisudolnego"/>
          <w:rFonts w:eastAsia="Calibri"/>
        </w:rPr>
        <w:footnoteReference w:id="30"/>
      </w:r>
      <w:r w:rsidR="00176EB7" w:rsidRPr="00DD0783">
        <w:rPr>
          <w:rFonts w:eastAsia="Calibri"/>
        </w:rPr>
        <w:t>.</w:t>
      </w:r>
    </w:p>
    <w:p w14:paraId="5EB72ABF" w14:textId="77777777" w:rsidR="00C34307" w:rsidRPr="00DD0783" w:rsidRDefault="00C34307" w:rsidP="003B2988">
      <w:pPr>
        <w:pStyle w:val="Akapitzlist"/>
        <w:spacing w:after="0"/>
        <w:ind w:left="714"/>
        <w:contextualSpacing w:val="0"/>
        <w:jc w:val="both"/>
        <w:rPr>
          <w:rFonts w:eastAsia="Calibri"/>
        </w:rPr>
      </w:pPr>
    </w:p>
    <w:p w14:paraId="33EFC977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>Działanie</w:t>
      </w:r>
      <w:r w:rsidRPr="00DD0783">
        <w:rPr>
          <w:rFonts w:eastAsia="Calibri"/>
          <w:b/>
        </w:rPr>
        <w:t xml:space="preserve"> </w:t>
      </w:r>
      <w:r w:rsidR="00A23F33" w:rsidRPr="00DD0783">
        <w:rPr>
          <w:rFonts w:eastAsia="Calibri"/>
          <w:b/>
        </w:rPr>
        <w:t>3.1</w:t>
      </w:r>
      <w:r w:rsidR="00A23F33" w:rsidRPr="00DD0783">
        <w:rPr>
          <w:b/>
        </w:rPr>
        <w:t xml:space="preserve"> Produkcja i dystrybucja energii ze źródeł odnawialnych:</w:t>
      </w:r>
    </w:p>
    <w:p w14:paraId="1110992C" w14:textId="77777777" w:rsidR="00A23F33" w:rsidRPr="00DD0783" w:rsidRDefault="00A23F33" w:rsidP="00E71C56">
      <w:pPr>
        <w:numPr>
          <w:ilvl w:val="0"/>
          <w:numId w:val="16"/>
        </w:numPr>
        <w:spacing w:after="0"/>
        <w:jc w:val="both"/>
      </w:pPr>
      <w:r w:rsidRPr="00DD0783">
        <w:t>Wydatki na budowę i/lub modernizację infrastruktury służącej produkcji energii pochodzącej z konwencjonalnych źródeł energii tj. paliw kopalnych (np. węgiel kamienny, węgiel brunatny, ropa naftowa, gaz ziemny).</w:t>
      </w:r>
    </w:p>
    <w:p w14:paraId="44D0F6A4" w14:textId="77777777" w:rsidR="00A23F33" w:rsidRPr="00DD0783" w:rsidRDefault="00A23F33" w:rsidP="00E71C56">
      <w:pPr>
        <w:numPr>
          <w:ilvl w:val="0"/>
          <w:numId w:val="16"/>
        </w:numPr>
        <w:spacing w:after="0"/>
        <w:jc w:val="both"/>
      </w:pPr>
      <w:r w:rsidRPr="00DD0783">
        <w:lastRenderedPageBreak/>
        <w:t>Wydatki związane z demontażem urządzeń służących produkcji energii pochodzącej z konwencjonalnych źródeł energii, tj. paliw kopalnych (np. węgiel kamienny, węgiel brunatny, ropa naftowa, gaz ziemny).</w:t>
      </w:r>
    </w:p>
    <w:p w14:paraId="1F92BA43" w14:textId="77777777" w:rsidR="003660EA" w:rsidRPr="00DD0783" w:rsidRDefault="003660EA" w:rsidP="00E71C56">
      <w:pPr>
        <w:numPr>
          <w:ilvl w:val="0"/>
          <w:numId w:val="16"/>
        </w:numPr>
        <w:spacing w:after="0"/>
        <w:jc w:val="both"/>
      </w:pPr>
      <w:r w:rsidRPr="00DD0783">
        <w:t>Wydatki związane z przesyłem energii</w:t>
      </w:r>
      <w:r w:rsidRPr="00DD0783">
        <w:rPr>
          <w:rStyle w:val="Odwoanieprzypisudolnego"/>
        </w:rPr>
        <w:footnoteReference w:id="31"/>
      </w:r>
      <w:r w:rsidRPr="00DD0783">
        <w:t>.</w:t>
      </w:r>
    </w:p>
    <w:p w14:paraId="5B005728" w14:textId="77777777" w:rsidR="00A23F33" w:rsidRPr="00DD0783" w:rsidRDefault="00A23F33" w:rsidP="00E71C56">
      <w:pPr>
        <w:numPr>
          <w:ilvl w:val="0"/>
          <w:numId w:val="16"/>
        </w:numPr>
        <w:spacing w:after="0"/>
        <w:jc w:val="both"/>
      </w:pPr>
      <w:r w:rsidRPr="00DD0783">
        <w:t>Wydatki związane z zakupem środków transportu.</w:t>
      </w:r>
    </w:p>
    <w:p w14:paraId="371C89ED" w14:textId="77777777"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cs="Arial"/>
        </w:rPr>
      </w:pPr>
      <w:r w:rsidRPr="00DD0783">
        <w:rPr>
          <w:rFonts w:cs="Arial"/>
        </w:rPr>
        <w:t>Wydatki poniesione na infrastrukturę służącą do przyłączenia do najbliżej istniejącej sieci przekraczające 49% wartości całkowitych wydatków kwalifikowalnych projektu.</w:t>
      </w:r>
    </w:p>
    <w:p w14:paraId="5CE40E41" w14:textId="77777777"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3403C68E" w14:textId="77777777"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przez Beneficjenta projektu grantowego (Grantodawcę) przekraczające 15% całkowitych wydatków kwalifikowalnych projektu grantowego</w:t>
      </w:r>
      <w:r w:rsidR="00E76550" w:rsidRPr="00DD0783">
        <w:rPr>
          <w:rStyle w:val="Odwoanieprzypisudolnego"/>
          <w:rFonts w:eastAsia="Times New Roman" w:cs="Times New Roman"/>
        </w:rPr>
        <w:footnoteReference w:id="32"/>
      </w:r>
      <w:r w:rsidRPr="00DD0783">
        <w:rPr>
          <w:rFonts w:eastAsia="Times New Roman" w:cs="Times New Roman"/>
        </w:rPr>
        <w:t>.</w:t>
      </w:r>
    </w:p>
    <w:p w14:paraId="0FE5017E" w14:textId="77777777" w:rsidR="0089612D" w:rsidRPr="00DD0783" w:rsidRDefault="0089612D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projektu.</w:t>
      </w:r>
    </w:p>
    <w:p w14:paraId="5F76F253" w14:textId="77777777" w:rsidR="00C34307" w:rsidRPr="00DD0783" w:rsidRDefault="00C34307" w:rsidP="003B2988">
      <w:pPr>
        <w:pStyle w:val="Akapitzlist"/>
        <w:spacing w:after="0"/>
        <w:jc w:val="both"/>
        <w:rPr>
          <w:rFonts w:eastAsia="Times New Roman" w:cs="Times New Roman"/>
        </w:rPr>
      </w:pPr>
    </w:p>
    <w:p w14:paraId="713B32CA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>Działanie</w:t>
      </w:r>
      <w:r w:rsidRPr="00DD0783">
        <w:rPr>
          <w:rFonts w:eastAsia="Calibri"/>
          <w:b/>
        </w:rPr>
        <w:t xml:space="preserve"> </w:t>
      </w:r>
      <w:r w:rsidR="00A23F33" w:rsidRPr="00DD0783">
        <w:rPr>
          <w:rFonts w:eastAsia="Calibri"/>
          <w:b/>
        </w:rPr>
        <w:t>3.2</w:t>
      </w:r>
      <w:r w:rsidR="00C34307" w:rsidRPr="00DD0783">
        <w:rPr>
          <w:b/>
        </w:rPr>
        <w:t xml:space="preserve"> </w:t>
      </w:r>
      <w:r w:rsidR="00A23F33" w:rsidRPr="00DD0783">
        <w:rPr>
          <w:b/>
        </w:rPr>
        <w:t>Efektywność energetyczna w MŚP:</w:t>
      </w:r>
    </w:p>
    <w:p w14:paraId="07186B05" w14:textId="77777777" w:rsidR="00A23F33" w:rsidRPr="00DD0783" w:rsidRDefault="00A23F33" w:rsidP="00E71C56">
      <w:pPr>
        <w:numPr>
          <w:ilvl w:val="0"/>
          <w:numId w:val="17"/>
        </w:numPr>
        <w:spacing w:after="0"/>
        <w:jc w:val="both"/>
      </w:pPr>
      <w:r w:rsidRPr="00DD0783">
        <w:t>Wydatki w ramach projektu dotyczące budynków mieszkalnych i użyteczności publicznej, których właścicielem jest JST lub są własnością jednostek</w:t>
      </w:r>
      <w:r w:rsidR="006868A7" w:rsidRPr="00DD0783">
        <w:rPr>
          <w:rStyle w:val="Odwoanieprzypisudolnego"/>
        </w:rPr>
        <w:footnoteReference w:id="33"/>
      </w:r>
      <w:r w:rsidRPr="00DD0783">
        <w:t xml:space="preserve">, dla których podmiotem założycielskim jest JST. Nie dotyczy </w:t>
      </w:r>
      <w:r w:rsidRPr="00DD0783">
        <w:rPr>
          <w:rFonts w:eastAsia="TTE1ABE920t00"/>
        </w:rPr>
        <w:t>przedsiębiorstw, których większość udziałów lub akcji należy do JST</w:t>
      </w:r>
      <w:r w:rsidR="00763C29" w:rsidRPr="00DD0783">
        <w:rPr>
          <w:rStyle w:val="Odwoanieprzypisudolnego"/>
          <w:rFonts w:eastAsia="TTE1ABE920t00"/>
        </w:rPr>
        <w:footnoteReference w:id="34"/>
      </w:r>
      <w:r w:rsidRPr="00DD0783">
        <w:rPr>
          <w:rFonts w:eastAsia="TTE1ABE920t00"/>
        </w:rPr>
        <w:t>.</w:t>
      </w:r>
    </w:p>
    <w:p w14:paraId="4ECE4734" w14:textId="77777777" w:rsidR="00A23F33" w:rsidRPr="00DD0783" w:rsidRDefault="00A23F33" w:rsidP="00E71C56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wynagrodzenia będące efektem tworzenia nowych miejsc pracy.</w:t>
      </w:r>
    </w:p>
    <w:p w14:paraId="5A8E6C0F" w14:textId="77777777" w:rsidR="00A23F33" w:rsidRPr="00DD0783" w:rsidRDefault="00A23F33" w:rsidP="00E71C56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35"/>
      </w:r>
      <w:r w:rsidRPr="00DD0783">
        <w:t>.</w:t>
      </w:r>
      <w:r w:rsidRPr="00DD0783">
        <w:rPr>
          <w:rFonts w:eastAsia="Times New Roman" w:cs="Times New Roman"/>
        </w:rPr>
        <w:t xml:space="preserve"> </w:t>
      </w:r>
    </w:p>
    <w:p w14:paraId="24D450F2" w14:textId="77777777" w:rsidR="001E33E2" w:rsidRPr="00DD0783" w:rsidRDefault="001E33E2" w:rsidP="00E71C56">
      <w:pPr>
        <w:pStyle w:val="Akapitzlist"/>
        <w:numPr>
          <w:ilvl w:val="0"/>
          <w:numId w:val="17"/>
        </w:numPr>
        <w:jc w:val="both"/>
      </w:pPr>
      <w:r w:rsidRPr="00DD0783">
        <w:t>Wydatki na oświetlenie energooszczędne i wymianę innych urządzeń stanowiących wyposażenie budynku (np. windy, pompy) na energooszczędne, przekraczające wartość 10 % wydatków kwalifikowalnych w projekcie</w:t>
      </w:r>
      <w:r w:rsidR="00862CCA" w:rsidRPr="00DD0783">
        <w:rPr>
          <w:rStyle w:val="Odwoanieprzypisudolnego"/>
        </w:rPr>
        <w:footnoteReference w:id="36"/>
      </w:r>
      <w:r w:rsidRPr="00DD0783">
        <w:t>.</w:t>
      </w:r>
    </w:p>
    <w:p w14:paraId="0032110F" w14:textId="77777777" w:rsidR="001213D3" w:rsidRPr="00DD0783" w:rsidRDefault="001D4A2D" w:rsidP="00E71C56">
      <w:pPr>
        <w:pStyle w:val="Akapitzlist"/>
        <w:numPr>
          <w:ilvl w:val="0"/>
          <w:numId w:val="17"/>
        </w:numPr>
        <w:jc w:val="both"/>
      </w:pPr>
      <w:r w:rsidRPr="00DD0783">
        <w:rPr>
          <w:rFonts w:eastAsia="Times New Roman" w:cs="Times New Roman"/>
        </w:rPr>
        <w:t>Wydatki na roboty budowlane nie związane bezpośrednio z poprawą efektywności energetycznej (np. nie wynikające z audytu, dot. remontu sanitariatów, zmiana układu pomieszczeń, wyposażenie pomieszczeń w meble, remont/modernizacja klatki schodowej, remont/modernizacja instalacji w zakresie nie związanym bezpośrednio z poprawą efektywności energetycznej, zagospodarowanie terenu, itp.)</w:t>
      </w:r>
      <w:r w:rsidR="00862CCA" w:rsidRPr="00DD0783">
        <w:rPr>
          <w:rStyle w:val="Odwoanieprzypisudolnego"/>
          <w:rFonts w:eastAsia="Times New Roman" w:cs="Times New Roman"/>
        </w:rPr>
        <w:footnoteReference w:id="37"/>
      </w:r>
      <w:r w:rsidRPr="00DD0783">
        <w:rPr>
          <w:rFonts w:eastAsia="Times New Roman" w:cs="Times New Roman"/>
        </w:rPr>
        <w:t>.</w:t>
      </w:r>
    </w:p>
    <w:p w14:paraId="1BC52852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3.3 Efektywność energetyczna w budynkach użyteczności publicznej i sektorze mieszkaniowym:</w:t>
      </w:r>
    </w:p>
    <w:p w14:paraId="75A88A49" w14:textId="79458746" w:rsidR="00A23F33" w:rsidRPr="00DD0783" w:rsidRDefault="00A23F33" w:rsidP="00E71C56">
      <w:pPr>
        <w:pStyle w:val="Akapitzlist"/>
        <w:numPr>
          <w:ilvl w:val="0"/>
          <w:numId w:val="10"/>
        </w:numPr>
        <w:spacing w:after="0"/>
        <w:jc w:val="both"/>
      </w:pPr>
      <w:r w:rsidRPr="00DD0783">
        <w:t xml:space="preserve">Wydatki na oświetlenie energooszczędne i wymianę innych urządzeń stanowiących wyposażenie budynku (np. windy, pompy) na energooszczędne, przekraczające wartość 10 % </w:t>
      </w:r>
      <w:r w:rsidRPr="00DD0783">
        <w:lastRenderedPageBreak/>
        <w:t>wydatków kwalifikowalnych w projekcie.</w:t>
      </w:r>
      <w:r w:rsidR="00FC0A69">
        <w:t xml:space="preserve"> Typ 3.3 e: niekwalifikowalne są </w:t>
      </w:r>
      <w:r w:rsidR="00880E60">
        <w:t xml:space="preserve">w całości </w:t>
      </w:r>
      <w:r w:rsidR="00FC0A69">
        <w:t xml:space="preserve">wszystkie </w:t>
      </w:r>
      <w:r w:rsidR="00880E60">
        <w:t xml:space="preserve">wymienione </w:t>
      </w:r>
      <w:r w:rsidR="00FC0A69">
        <w:t>wydatki</w:t>
      </w:r>
      <w:r w:rsidR="00880E60">
        <w:t xml:space="preserve"> na wymianę oświetlenia i urządzeń elektrycznych</w:t>
      </w:r>
      <w:r w:rsidR="001678D7">
        <w:rPr>
          <w:rStyle w:val="Odwoanieprzypisudolnego"/>
        </w:rPr>
        <w:footnoteReference w:id="38"/>
      </w:r>
      <w:r w:rsidR="00880E60">
        <w:t>.</w:t>
      </w:r>
    </w:p>
    <w:p w14:paraId="5DCDF918" w14:textId="77777777" w:rsidR="00014B07" w:rsidRPr="00DD0783" w:rsidRDefault="00A23F33" w:rsidP="00E71C56">
      <w:pPr>
        <w:pStyle w:val="Akapitzlist"/>
        <w:numPr>
          <w:ilvl w:val="0"/>
          <w:numId w:val="10"/>
        </w:numPr>
        <w:jc w:val="both"/>
      </w:pPr>
      <w:r w:rsidRPr="00DD0783">
        <w:t>Wydatki na podłączenie do sieci ciepłowniczej przewyższające 49% wydatków kwalifikowalnych w projekcie.</w:t>
      </w:r>
      <w:r w:rsidR="00351541">
        <w:t xml:space="preserve"> </w:t>
      </w:r>
      <w:r w:rsidR="00351541" w:rsidRPr="00982B0D">
        <w:t>Nie dotyczy typu 3.3 e</w:t>
      </w:r>
      <w:r w:rsidR="004928C4" w:rsidRPr="00982B0D">
        <w:t>.</w:t>
      </w:r>
    </w:p>
    <w:p w14:paraId="41DA012F" w14:textId="77777777" w:rsidR="00A23F33" w:rsidRPr="00DD0783" w:rsidRDefault="00014B07" w:rsidP="00E71C56">
      <w:pPr>
        <w:pStyle w:val="Akapitzlist"/>
        <w:numPr>
          <w:ilvl w:val="0"/>
          <w:numId w:val="10"/>
        </w:numPr>
        <w:jc w:val="both"/>
      </w:pPr>
      <w:r w:rsidRPr="00DD0783">
        <w:rPr>
          <w:rFonts w:eastAsia="Times New Roman" w:cs="Times New Roman"/>
        </w:rPr>
        <w:t>Wydatki na wynagrodzenia będące efektem tworzenia nowych miejsc pracy</w:t>
      </w:r>
      <w:r w:rsidRPr="00DD0783">
        <w:rPr>
          <w:rStyle w:val="Odwoanieprzypisudolnego"/>
          <w:rFonts w:eastAsia="Times New Roman" w:cs="Times New Roman"/>
        </w:rPr>
        <w:footnoteReference w:id="39"/>
      </w:r>
      <w:r w:rsidRPr="00DD0783">
        <w:rPr>
          <w:rFonts w:eastAsia="Times New Roman" w:cs="Times New Roman"/>
        </w:rPr>
        <w:t>.</w:t>
      </w:r>
      <w:r w:rsidR="00A23F33" w:rsidRPr="00DD0783">
        <w:rPr>
          <w:rFonts w:eastAsia="Times New Roman" w:cs="Times New Roman"/>
        </w:rPr>
        <w:t xml:space="preserve"> </w:t>
      </w:r>
    </w:p>
    <w:p w14:paraId="636C3E64" w14:textId="20E75770" w:rsidR="00A23F33" w:rsidRPr="009E58A1" w:rsidRDefault="00A23F33" w:rsidP="00E71C56">
      <w:pPr>
        <w:pStyle w:val="Akapitzlist"/>
        <w:numPr>
          <w:ilvl w:val="0"/>
          <w:numId w:val="10"/>
        </w:numPr>
        <w:jc w:val="both"/>
      </w:pPr>
      <w:r w:rsidRPr="00DD0783">
        <w:rPr>
          <w:rFonts w:eastAsia="Times New Roman" w:cs="Times New Roman"/>
        </w:rPr>
        <w:t>Wydatki na roboty budowlane nie związane bezpośrednio z poprawą efektywności energetycznej (np. nie wynikające z audytu, dot. remontu sanitariatów, zmiana układu pomieszczeń, wyposażenie pomieszczeń w meble, remont</w:t>
      </w:r>
      <w:r w:rsidR="00222BEE">
        <w:rPr>
          <w:rFonts w:eastAsia="Times New Roman" w:cs="Times New Roman"/>
        </w:rPr>
        <w:t xml:space="preserve"> </w:t>
      </w:r>
      <w:r w:rsidRPr="00DD0783">
        <w:rPr>
          <w:rFonts w:eastAsia="Times New Roman" w:cs="Times New Roman"/>
        </w:rPr>
        <w:t>/</w:t>
      </w:r>
      <w:r w:rsidR="00222BEE">
        <w:rPr>
          <w:rFonts w:eastAsia="Times New Roman" w:cs="Times New Roman"/>
        </w:rPr>
        <w:t xml:space="preserve"> </w:t>
      </w:r>
      <w:r w:rsidRPr="00DD0783">
        <w:rPr>
          <w:rFonts w:eastAsia="Times New Roman" w:cs="Times New Roman"/>
        </w:rPr>
        <w:t>modernizacja klatki schodowej, remont/modernizacja instalacji w zakresie nie związanym bezpośrednio z poprawą efektywności energetycznej, zagospodarowanie terenu, itp.).</w:t>
      </w:r>
      <w:r w:rsidR="00283995">
        <w:rPr>
          <w:rFonts w:eastAsia="Times New Roman" w:cs="Times New Roman"/>
        </w:rPr>
        <w:t xml:space="preserve"> </w:t>
      </w:r>
      <w:r w:rsidR="00283995" w:rsidRPr="00283995">
        <w:rPr>
          <w:rFonts w:eastAsia="Times New Roman" w:cs="Times New Roman"/>
        </w:rPr>
        <w:t>Wyjątek stanowią wydatki na prace niezbędne do poprawy efektywności ale bezpośrednio z nią nie związane, bez których nie da się skutecznie zrealizować prac bezpośrednio związanych z poprawą efektywności, np. osuszenie ścian, naprawa i uzupełnienie ubytków przegrody przed zamocowaniem izolacji itp. Zasada ta nie dotyczy również usprawnień na rzecz osób niepełnosprawnych, związanych z</w:t>
      </w:r>
      <w:r w:rsidR="00B312B9">
        <w:rPr>
          <w:rFonts w:eastAsia="Times New Roman" w:cs="Times New Roman"/>
        </w:rPr>
        <w:t> </w:t>
      </w:r>
      <w:r w:rsidR="00283995" w:rsidRPr="00283995">
        <w:rPr>
          <w:rFonts w:eastAsia="Times New Roman" w:cs="Times New Roman"/>
        </w:rPr>
        <w:t>realizacją koncepcji uniwersalnego projektowania, o której mowa w Wytycznych w zakresie realizacji zasady równości szans i niedyskryminacji,</w:t>
      </w:r>
      <w:r w:rsidR="00AC51C3">
        <w:rPr>
          <w:rFonts w:eastAsia="Times New Roman" w:cs="Times New Roman"/>
        </w:rPr>
        <w:t xml:space="preserve"> </w:t>
      </w:r>
      <w:r w:rsidR="00283995" w:rsidRPr="00283995">
        <w:rPr>
          <w:rFonts w:eastAsia="Times New Roman" w:cs="Times New Roman"/>
        </w:rPr>
        <w:t>w tym dostępności dla osób z</w:t>
      </w:r>
      <w:r w:rsidR="00B312B9">
        <w:rPr>
          <w:rFonts w:eastAsia="Times New Roman" w:cs="Times New Roman"/>
        </w:rPr>
        <w:t> </w:t>
      </w:r>
      <w:r w:rsidR="00283995" w:rsidRPr="00283995">
        <w:rPr>
          <w:rFonts w:eastAsia="Times New Roman" w:cs="Times New Roman"/>
        </w:rPr>
        <w:t xml:space="preserve"> niepełnosprawnościami oraz zasady równości szans kobiet i mężczyzn w ramach funduszy unijnych na lata 2014-2020</w:t>
      </w:r>
      <w:r w:rsidR="00492E18">
        <w:rPr>
          <w:rFonts w:eastAsia="Times New Roman" w:cs="Times New Roman"/>
        </w:rPr>
        <w:t>(dla</w:t>
      </w:r>
      <w:r w:rsidR="00FC0A69">
        <w:rPr>
          <w:rFonts w:eastAsia="Times New Roman" w:cs="Times New Roman"/>
        </w:rPr>
        <w:t xml:space="preserve"> </w:t>
      </w:r>
      <w:r w:rsidR="00EE0968">
        <w:rPr>
          <w:rFonts w:eastAsia="Times New Roman" w:cs="Times New Roman"/>
        </w:rPr>
        <w:t>T</w:t>
      </w:r>
      <w:r w:rsidR="00FC0A69">
        <w:rPr>
          <w:rFonts w:eastAsia="Times New Roman" w:cs="Times New Roman"/>
        </w:rPr>
        <w:t>yp</w:t>
      </w:r>
      <w:r w:rsidR="00492E18">
        <w:rPr>
          <w:rFonts w:eastAsia="Times New Roman" w:cs="Times New Roman"/>
        </w:rPr>
        <w:t>u</w:t>
      </w:r>
      <w:r w:rsidR="00FC0A69">
        <w:rPr>
          <w:rFonts w:eastAsia="Times New Roman" w:cs="Times New Roman"/>
        </w:rPr>
        <w:t xml:space="preserve"> 3.3 e</w:t>
      </w:r>
      <w:r w:rsidR="00EE0968">
        <w:rPr>
          <w:rFonts w:eastAsia="Times New Roman" w:cs="Times New Roman"/>
        </w:rPr>
        <w:t>:</w:t>
      </w:r>
      <w:r w:rsidR="00FC0A69">
        <w:rPr>
          <w:rFonts w:eastAsia="Times New Roman" w:cs="Times New Roman"/>
        </w:rPr>
        <w:t xml:space="preserve"> </w:t>
      </w:r>
      <w:r w:rsidR="00492E18">
        <w:rPr>
          <w:rFonts w:eastAsia="Times New Roman" w:cs="Times New Roman"/>
        </w:rPr>
        <w:t xml:space="preserve">usprawnienia dla osób niepełnosprawnych </w:t>
      </w:r>
      <w:r w:rsidR="00EE0968">
        <w:rPr>
          <w:rFonts w:eastAsia="Times New Roman" w:cs="Times New Roman"/>
        </w:rPr>
        <w:t xml:space="preserve">tylko do </w:t>
      </w:r>
      <w:r w:rsidR="00FC0A69">
        <w:rPr>
          <w:rFonts w:eastAsia="Times New Roman" w:cs="Times New Roman"/>
        </w:rPr>
        <w:t>10%</w:t>
      </w:r>
      <w:r w:rsidR="00EE0968">
        <w:rPr>
          <w:rFonts w:eastAsia="Times New Roman" w:cs="Times New Roman"/>
        </w:rPr>
        <w:t xml:space="preserve"> wydatków kwalifikowalnych w projekcie</w:t>
      </w:r>
      <w:r w:rsidR="00880E60">
        <w:rPr>
          <w:rFonts w:eastAsia="Times New Roman" w:cs="Times New Roman"/>
        </w:rPr>
        <w:t>.</w:t>
      </w:r>
    </w:p>
    <w:p w14:paraId="4AA265C2" w14:textId="77777777" w:rsidR="009C18C1" w:rsidRPr="009E58A1" w:rsidRDefault="009C18C1" w:rsidP="00E71C56">
      <w:pPr>
        <w:pStyle w:val="Akapitzlist"/>
        <w:numPr>
          <w:ilvl w:val="0"/>
          <w:numId w:val="10"/>
        </w:numPr>
        <w:jc w:val="both"/>
      </w:pPr>
      <w:r>
        <w:rPr>
          <w:rFonts w:eastAsia="Times New Roman" w:cs="Times New Roman"/>
        </w:rPr>
        <w:t>Wydatki na audyty sporządzone (zaktualizowane) wcześniej niż na dwa lata przed rokiem ogłoszenia konkursu.</w:t>
      </w:r>
      <w:r w:rsidR="00617EF1">
        <w:rPr>
          <w:rStyle w:val="Odwoanieprzypisudolnego"/>
          <w:rFonts w:eastAsia="Times New Roman" w:cs="Times New Roman"/>
        </w:rPr>
        <w:footnoteReference w:id="40"/>
      </w:r>
    </w:p>
    <w:p w14:paraId="53269EBD" w14:textId="77777777" w:rsidR="00283995" w:rsidRPr="00283995" w:rsidRDefault="00283995" w:rsidP="00E71C56">
      <w:pPr>
        <w:pStyle w:val="Akapitzlist"/>
        <w:numPr>
          <w:ilvl w:val="0"/>
          <w:numId w:val="10"/>
        </w:numPr>
        <w:jc w:val="both"/>
      </w:pPr>
      <w:r>
        <w:t xml:space="preserve">Wydatki na kotły nie spełniające wymogów </w:t>
      </w:r>
      <w:r w:rsidRPr="00C17EEC">
        <w:rPr>
          <w:rFonts w:cs="Arial"/>
        </w:rPr>
        <w:t>określon</w:t>
      </w:r>
      <w:r>
        <w:rPr>
          <w:rFonts w:cs="Arial"/>
        </w:rPr>
        <w:t>ych</w:t>
      </w:r>
      <w:r w:rsidRPr="00C17EEC">
        <w:rPr>
          <w:rFonts w:cs="Arial"/>
        </w:rPr>
        <w:t xml:space="preserve"> w środkach wykonawczych do dyrektywy 2009/125/WE z dnia 21 października 2009 r. ustanawiającej ogólne zasady ustalania wymogów dotyczących ekoprojektu dla produktów związanych z energią.</w:t>
      </w:r>
    </w:p>
    <w:p w14:paraId="0BA49BA5" w14:textId="77777777" w:rsidR="00283995" w:rsidRDefault="00283995" w:rsidP="00880E60">
      <w:pPr>
        <w:pStyle w:val="Akapitzlist"/>
        <w:numPr>
          <w:ilvl w:val="0"/>
          <w:numId w:val="10"/>
        </w:numPr>
        <w:spacing w:after="0"/>
        <w:jc w:val="both"/>
      </w:pPr>
      <w:r>
        <w:t>Wydatki na kotły węglowe</w:t>
      </w:r>
      <w:r w:rsidR="005C33F4">
        <w:t xml:space="preserve"> i olejowe</w:t>
      </w:r>
      <w:r>
        <w:t>, bez względu na to, jakie normy spełniają</w:t>
      </w:r>
      <w:r w:rsidR="00B04376">
        <w:t xml:space="preserve"> oraz na likwidację kotłów gazowych i olejowych</w:t>
      </w:r>
      <w:r w:rsidR="005E6D8D">
        <w:rPr>
          <w:rStyle w:val="Odwoanieprzypisudolnego"/>
        </w:rPr>
        <w:footnoteReference w:id="41"/>
      </w:r>
      <w:r>
        <w:t>.</w:t>
      </w:r>
    </w:p>
    <w:p w14:paraId="44F3BA65" w14:textId="77777777" w:rsidR="006D1FF9" w:rsidRDefault="0091185F" w:rsidP="00880E60">
      <w:pPr>
        <w:spacing w:after="0"/>
        <w:ind w:left="360"/>
        <w:jc w:val="both"/>
      </w:pPr>
      <w:r>
        <w:t>Dodatkowo dla p</w:t>
      </w:r>
      <w:r w:rsidR="006D1FF9">
        <w:t>rojekt</w:t>
      </w:r>
      <w:r>
        <w:t>ów</w:t>
      </w:r>
      <w:r w:rsidR="006D1FF9">
        <w:t xml:space="preserve"> grantow</w:t>
      </w:r>
      <w:r>
        <w:t>ych</w:t>
      </w:r>
      <w:r w:rsidR="006D1FF9">
        <w:t>:</w:t>
      </w:r>
    </w:p>
    <w:p w14:paraId="55428A09" w14:textId="77777777" w:rsidR="00A8521C" w:rsidRDefault="00A8521C" w:rsidP="00E71C56">
      <w:pPr>
        <w:pStyle w:val="Akapitzlist"/>
        <w:numPr>
          <w:ilvl w:val="0"/>
          <w:numId w:val="10"/>
        </w:numPr>
        <w:jc w:val="both"/>
      </w:pPr>
      <w:r>
        <w:t>W</w:t>
      </w:r>
      <w:r w:rsidRPr="00A8521C">
        <w:t>ydatki na wypełnienie formularza wniosku o dofinansowani</w:t>
      </w:r>
      <w:r>
        <w:t>e</w:t>
      </w:r>
      <w:r w:rsidR="00D93AD2">
        <w:t xml:space="preserve"> projektu (ponoszone przez wnioskodawcę – </w:t>
      </w:r>
      <w:r w:rsidR="009F021E">
        <w:t>G</w:t>
      </w:r>
      <w:r w:rsidR="00D93AD2">
        <w:t>rantobiorcę)</w:t>
      </w:r>
      <w:r>
        <w:t>.</w:t>
      </w:r>
    </w:p>
    <w:p w14:paraId="74B650D6" w14:textId="77777777" w:rsidR="005241FD" w:rsidRPr="00D97D82" w:rsidRDefault="00AC51C3" w:rsidP="00E71C56">
      <w:pPr>
        <w:pStyle w:val="Akapitzlist"/>
        <w:numPr>
          <w:ilvl w:val="0"/>
          <w:numId w:val="10"/>
        </w:numPr>
        <w:jc w:val="both"/>
      </w:pPr>
      <w:r>
        <w:t>Wydatki poniesione na audyty</w:t>
      </w:r>
      <w:r w:rsidR="009F021E">
        <w:t xml:space="preserve"> </w:t>
      </w:r>
      <w:r w:rsidR="00D15BC4">
        <w:t>/</w:t>
      </w:r>
      <w:r w:rsidR="009F021E">
        <w:t xml:space="preserve"> </w:t>
      </w:r>
      <w:r w:rsidR="00D15BC4">
        <w:t>audyty uproszczone</w:t>
      </w:r>
      <w:r>
        <w:t xml:space="preserve"> sporządzone (lub zaktualizowane) </w:t>
      </w:r>
      <w:r w:rsidR="00A8521C">
        <w:t xml:space="preserve">wcześniej niż </w:t>
      </w:r>
      <w:r>
        <w:t xml:space="preserve">dwa lata </w:t>
      </w:r>
      <w:r w:rsidR="005241FD">
        <w:rPr>
          <w:rFonts w:eastAsia="Times New Roman" w:cs="Times New Roman"/>
        </w:rPr>
        <w:t>przed rokiem ogłoszenia konkursu.</w:t>
      </w:r>
    </w:p>
    <w:p w14:paraId="11480C38" w14:textId="77777777" w:rsidR="00A8521C" w:rsidRDefault="00A8521C" w:rsidP="00E71C56">
      <w:pPr>
        <w:pStyle w:val="Akapitzlist"/>
        <w:numPr>
          <w:ilvl w:val="0"/>
          <w:numId w:val="10"/>
        </w:numPr>
        <w:jc w:val="both"/>
      </w:pPr>
      <w:r>
        <w:t xml:space="preserve">Wydatki na osobowe koszty zarządzania projektem związane z wynagrodzeniem osoby wykonującej – na podstawie stosunku pracy w oparciu o przepisy kodeksu pracy lub na podstawie umowy cywilnoprawnej bądź innej nienazwanej w oparciu o przepisy kodeksu cywilnego – na rzecz </w:t>
      </w:r>
      <w:r w:rsidR="00C40B9D">
        <w:t>G</w:t>
      </w:r>
      <w:r>
        <w:t>rantodawcy (</w:t>
      </w:r>
      <w:r w:rsidR="00B312B9">
        <w:t>B</w:t>
      </w:r>
      <w:r>
        <w:t>eneficjenta) lub podmiotu realizującego projekt czynności związane z zarządzaniem projektem, jeżeli łącznie nie zostaną spełnione następujące warunki:</w:t>
      </w:r>
    </w:p>
    <w:p w14:paraId="1409782B" w14:textId="77777777" w:rsidR="00A8521C" w:rsidRDefault="00A8521C" w:rsidP="00E71C56">
      <w:pPr>
        <w:pStyle w:val="Akapitzlist"/>
        <w:numPr>
          <w:ilvl w:val="0"/>
          <w:numId w:val="10"/>
        </w:numPr>
        <w:ind w:left="1134"/>
        <w:jc w:val="both"/>
      </w:pPr>
      <w:r>
        <w:t>ww. osoba jest bezpośrednio zaangażowana w wykonywanie ww. czynności w ramach projektu;</w:t>
      </w:r>
    </w:p>
    <w:p w14:paraId="4A53C976" w14:textId="77777777" w:rsidR="00A8521C" w:rsidRDefault="00A8521C" w:rsidP="00E71C56">
      <w:pPr>
        <w:pStyle w:val="Akapitzlist"/>
        <w:numPr>
          <w:ilvl w:val="0"/>
          <w:numId w:val="10"/>
        </w:numPr>
        <w:ind w:left="1134"/>
        <w:jc w:val="both"/>
      </w:pPr>
      <w:r>
        <w:t xml:space="preserve">mogą być uwzględniane tylko te ww. osoby, które co najmniej w 25% czasu w danym okresie rozliczeniowym wykonują zadania kwalifikowalne w ramach projektu; wówczas za </w:t>
      </w:r>
      <w:r>
        <w:lastRenderedPageBreak/>
        <w:t>kwalifikowalną może być uznana ta część wynagrodzenia, która odpowiada procentowemu bezpośredniemu zaangażowaniu ww. osoby w wykonywanie czynności w ramach projektu;</w:t>
      </w:r>
    </w:p>
    <w:p w14:paraId="0B64846B" w14:textId="77777777" w:rsidR="00A8521C" w:rsidRDefault="00A8521C" w:rsidP="00E71C56">
      <w:pPr>
        <w:pStyle w:val="Akapitzlist"/>
        <w:numPr>
          <w:ilvl w:val="0"/>
          <w:numId w:val="10"/>
        </w:numPr>
        <w:ind w:left="1134"/>
        <w:jc w:val="both"/>
      </w:pPr>
      <w:r>
        <w:t>wydatki ponoszone są wyłącznie w okresie realizacji projektu oraz za okres, w którym ww. osoba wykonywała faktycznie czynności związane w ramach projektu.</w:t>
      </w:r>
    </w:p>
    <w:p w14:paraId="2A38BA77" w14:textId="4EF87399" w:rsidR="00AC51C3" w:rsidRDefault="009C18C1" w:rsidP="00E71C56">
      <w:pPr>
        <w:pStyle w:val="Akapitzlist"/>
        <w:numPr>
          <w:ilvl w:val="0"/>
          <w:numId w:val="10"/>
        </w:numPr>
        <w:jc w:val="both"/>
      </w:pPr>
      <w:r>
        <w:t>Wydatki na audyty</w:t>
      </w:r>
      <w:r w:rsidR="009B65DB">
        <w:t xml:space="preserve"> </w:t>
      </w:r>
      <w:r w:rsidR="00D15BC4">
        <w:t>/</w:t>
      </w:r>
      <w:r w:rsidR="009B65DB">
        <w:t xml:space="preserve"> </w:t>
      </w:r>
      <w:r w:rsidR="00D15BC4">
        <w:t>audyty uproszczone</w:t>
      </w:r>
      <w:r>
        <w:t xml:space="preserve"> poniesione przez potencjalnych </w:t>
      </w:r>
      <w:r w:rsidR="00C40B9D">
        <w:t>G</w:t>
      </w:r>
      <w:r>
        <w:t>rantobiorców nie zakwalifikowanych do projektu lub zakwalifikowanych, którzy zrezygnowali z udziału w</w:t>
      </w:r>
      <w:r w:rsidR="005A2D3C">
        <w:t> </w:t>
      </w:r>
      <w:r>
        <w:t>projekcie.</w:t>
      </w:r>
    </w:p>
    <w:p w14:paraId="5D56268B" w14:textId="77777777" w:rsidR="009C18C1" w:rsidRDefault="009C18C1" w:rsidP="00E71C56">
      <w:pPr>
        <w:pStyle w:val="Akapitzlist"/>
        <w:numPr>
          <w:ilvl w:val="0"/>
          <w:numId w:val="10"/>
        </w:numPr>
        <w:jc w:val="both"/>
      </w:pPr>
      <w:r>
        <w:t>Wydatki poniesione przez</w:t>
      </w:r>
      <w:r w:rsidR="007120E2">
        <w:t xml:space="preserve"> </w:t>
      </w:r>
      <w:r w:rsidR="00C40B9D">
        <w:t>G</w:t>
      </w:r>
      <w:r>
        <w:t>rantodawcę na audyty</w:t>
      </w:r>
      <w:r w:rsidR="009B65DB">
        <w:t xml:space="preserve"> </w:t>
      </w:r>
      <w:r w:rsidR="00D15BC4">
        <w:t>/</w:t>
      </w:r>
      <w:r w:rsidR="009B65DB">
        <w:t xml:space="preserve"> </w:t>
      </w:r>
      <w:r w:rsidR="00D15BC4">
        <w:t>audyty uproszczone</w:t>
      </w:r>
      <w:r>
        <w:t xml:space="preserve"> potencjalnych </w:t>
      </w:r>
      <w:r w:rsidR="00C40B9D">
        <w:t>G</w:t>
      </w:r>
      <w:r>
        <w:t>rantobiorców nie zakwalifikowanych do projektu lub zakwalifikowanych, którzy zrezygnowali z udziału w</w:t>
      </w:r>
      <w:r w:rsidR="007120E2">
        <w:t> </w:t>
      </w:r>
      <w:r>
        <w:t>projekcie powyżej limitu</w:t>
      </w:r>
      <w:r w:rsidR="00B2539D">
        <w:t xml:space="preserve"> 25% wartości wydatków przewidzianych na audyty w projekcie</w:t>
      </w:r>
      <w:r w:rsidR="009B65DB">
        <w:t xml:space="preserve">, przy czym audyty / uproszczone audyty sporządzone przed zakwalifikowaniem </w:t>
      </w:r>
      <w:r w:rsidR="009F021E">
        <w:t>G</w:t>
      </w:r>
      <w:r w:rsidR="009B65DB">
        <w:t xml:space="preserve">rantobiorców w projekcie, z których wynika, że potencjalny </w:t>
      </w:r>
      <w:r w:rsidR="009F021E">
        <w:t>G</w:t>
      </w:r>
      <w:r w:rsidR="009B65DB">
        <w:t>rantobiorca nie spełni wymogów naboru do projektu – nie mogą być kwalifikowalne</w:t>
      </w:r>
      <w:r w:rsidR="00B2539D">
        <w:t>.</w:t>
      </w:r>
    </w:p>
    <w:p w14:paraId="4D118EFE" w14:textId="625645BF" w:rsidR="009C18C1" w:rsidRDefault="00661694" w:rsidP="00E71C56">
      <w:pPr>
        <w:pStyle w:val="Akapitzlist"/>
        <w:numPr>
          <w:ilvl w:val="0"/>
          <w:numId w:val="10"/>
        </w:numPr>
        <w:jc w:val="both"/>
      </w:pPr>
      <w:r>
        <w:t>Koszty zarządzania projektem (</w:t>
      </w:r>
      <w:r w:rsidR="00580F5D">
        <w:t xml:space="preserve">tj. wyłącznie osobowe </w:t>
      </w:r>
      <w:r>
        <w:t>koszty</w:t>
      </w:r>
      <w:r w:rsidR="00580F5D">
        <w:t xml:space="preserve"> zarządzania projektem, koszty wymaganej prawem i/lub regulaminem konkursu dokumentacji, koszty działań informacyjno</w:t>
      </w:r>
      <w:r w:rsidR="00807A53">
        <w:t>-</w:t>
      </w:r>
      <w:r w:rsidR="00580F5D">
        <w:t>promocyjnych, ew. koszty audytów</w:t>
      </w:r>
      <w:r w:rsidR="009B65DB">
        <w:t xml:space="preserve"> </w:t>
      </w:r>
      <w:r w:rsidR="00D15BC4">
        <w:t>/</w:t>
      </w:r>
      <w:r w:rsidR="009B65DB">
        <w:t xml:space="preserve"> </w:t>
      </w:r>
      <w:r w:rsidR="00D15BC4">
        <w:t>audytów uproszczonych</w:t>
      </w:r>
      <w:r w:rsidR="00580F5D">
        <w:t xml:space="preserve"> ponoszone przez </w:t>
      </w:r>
      <w:r w:rsidR="00C40B9D">
        <w:t>G</w:t>
      </w:r>
      <w:r w:rsidR="00580F5D">
        <w:t>rantodawcę – w tym przypadku z uwzględnieniem zapisu poprzedzającego niniejszy tiret)</w:t>
      </w:r>
      <w:r>
        <w:t xml:space="preserve"> przekraczające limit 15% wydatków kwalifikowalnych w projekcie</w:t>
      </w:r>
      <w:r w:rsidR="00580F5D">
        <w:t>.</w:t>
      </w:r>
    </w:p>
    <w:p w14:paraId="069AF8C6" w14:textId="54BB0813" w:rsidR="00C43638" w:rsidRPr="00C43638" w:rsidRDefault="00C43638" w:rsidP="00C43638">
      <w:pPr>
        <w:pStyle w:val="Akapitzlist"/>
        <w:numPr>
          <w:ilvl w:val="0"/>
          <w:numId w:val="10"/>
        </w:numPr>
        <w:jc w:val="both"/>
        <w:rPr>
          <w:rFonts w:cs="Arial"/>
        </w:rPr>
      </w:pPr>
      <w:r w:rsidRPr="00C43638">
        <w:rPr>
          <w:rFonts w:cs="Arial"/>
        </w:rPr>
        <w:t xml:space="preserve">Wydatki nie mające bezpośredniego związku </w:t>
      </w:r>
      <w:r w:rsidR="0084221D">
        <w:rPr>
          <w:rFonts w:cs="Arial"/>
        </w:rPr>
        <w:t xml:space="preserve">z </w:t>
      </w:r>
      <w:r w:rsidRPr="00782A35">
        <w:rPr>
          <w:rFonts w:cs="Arial"/>
        </w:rPr>
        <w:t>wymian</w:t>
      </w:r>
      <w:r>
        <w:rPr>
          <w:rFonts w:cs="Arial"/>
        </w:rPr>
        <w:t>ą</w:t>
      </w:r>
      <w:r w:rsidRPr="00782A35">
        <w:rPr>
          <w:rFonts w:cs="Arial"/>
        </w:rPr>
        <w:t xml:space="preserve"> źródła ciepła z ew. dostosowaniem instalacji grzewczej i/lub pozyskiwania ciepłej wody użytkowej, bądź do wytwarzania energii elektrycznej na potrzeby budynku</w:t>
      </w:r>
      <w:r>
        <w:rPr>
          <w:rFonts w:cs="Arial"/>
        </w:rPr>
        <w:t xml:space="preserve"> </w:t>
      </w:r>
      <w:r w:rsidRPr="00782A35">
        <w:rPr>
          <w:rFonts w:cs="Arial"/>
        </w:rPr>
        <w:t>/</w:t>
      </w:r>
      <w:r>
        <w:rPr>
          <w:rFonts w:cs="Arial"/>
        </w:rPr>
        <w:t xml:space="preserve"> </w:t>
      </w:r>
      <w:r w:rsidRPr="00782A35">
        <w:rPr>
          <w:rFonts w:cs="Arial"/>
        </w:rPr>
        <w:t>mieszkania, gdzie wymianie podlega źródło ciepła</w:t>
      </w:r>
      <w:r w:rsidRPr="00C43638">
        <w:rPr>
          <w:rFonts w:cs="Arial"/>
        </w:rPr>
        <w:t xml:space="preserve"> (np. zmiana układu pomieszczeń, wyposażenie pomieszczeń w meble, montaż urządzeń sanitarnych, remont klatki schodowej, wykończenie pomieszczeń, wymiana oświetlenia, urządzeń elektrycznych).</w:t>
      </w:r>
      <w:r w:rsidR="00EC68AE">
        <w:rPr>
          <w:rStyle w:val="Odwoanieprzypisudolnego"/>
          <w:rFonts w:cs="Arial"/>
        </w:rPr>
        <w:footnoteReference w:id="42"/>
      </w:r>
    </w:p>
    <w:p w14:paraId="22BEA3B4" w14:textId="512E537B" w:rsidR="00C43638" w:rsidRPr="00DD0783" w:rsidRDefault="00C43638" w:rsidP="00E71C56">
      <w:pPr>
        <w:pStyle w:val="Akapitzlist"/>
        <w:numPr>
          <w:ilvl w:val="0"/>
          <w:numId w:val="10"/>
        </w:numPr>
        <w:jc w:val="both"/>
      </w:pPr>
      <w:r>
        <w:t xml:space="preserve">Wydatki </w:t>
      </w:r>
      <w:r w:rsidRPr="00782A35">
        <w:rPr>
          <w:rFonts w:cs="Arial"/>
        </w:rPr>
        <w:t>związan</w:t>
      </w:r>
      <w:r>
        <w:rPr>
          <w:rFonts w:cs="Arial"/>
        </w:rPr>
        <w:t>e</w:t>
      </w:r>
      <w:r w:rsidRPr="00782A35">
        <w:rPr>
          <w:rFonts w:cs="Arial"/>
        </w:rPr>
        <w:t xml:space="preserve"> z realizacją koncepcji uniwersalnego projektowania, o której mowa w </w:t>
      </w:r>
      <w:r w:rsidRPr="00782A35">
        <w:rPr>
          <w:rFonts w:cs="Arial"/>
          <w:i/>
        </w:rPr>
        <w:t>Wytycznych w zakresie realizacji zasady równości szans i niedyskryminacji,</w:t>
      </w:r>
      <w:r w:rsidR="0084221D">
        <w:rPr>
          <w:rFonts w:cs="Arial"/>
          <w:i/>
        </w:rPr>
        <w:t xml:space="preserve"> </w:t>
      </w:r>
      <w:r w:rsidRPr="00782A35">
        <w:rPr>
          <w:rFonts w:cs="Arial"/>
          <w:i/>
        </w:rPr>
        <w:t>w tym dostępności dla osób z niepełnosprawnościami oraz zasady równości szans kobiet i mężczyzn w ramach funduszy unijnych na lata 2014-2020</w:t>
      </w:r>
      <w:r>
        <w:rPr>
          <w:rFonts w:cs="Arial"/>
          <w:iCs/>
        </w:rPr>
        <w:t xml:space="preserve"> przekraczające limit 10% wydatków kwalifikowalnych w projekcie</w:t>
      </w:r>
      <w:r w:rsidR="001678D7">
        <w:rPr>
          <w:rFonts w:cs="Arial"/>
          <w:iCs/>
        </w:rPr>
        <w:t xml:space="preserve"> (dla pojedynczego grantu również obowiązuje limit 10%)</w:t>
      </w:r>
      <w:r w:rsidR="00EC68AE">
        <w:rPr>
          <w:rFonts w:cs="Arial"/>
          <w:iCs/>
        </w:rPr>
        <w:t>.</w:t>
      </w:r>
      <w:r w:rsidR="00EC68AE">
        <w:rPr>
          <w:rStyle w:val="Odwoanieprzypisudolnego"/>
          <w:rFonts w:cs="Arial"/>
          <w:iCs/>
        </w:rPr>
        <w:footnoteReference w:id="43"/>
      </w:r>
    </w:p>
    <w:p w14:paraId="35A780B6" w14:textId="77777777" w:rsidR="0010120B" w:rsidRDefault="0010120B" w:rsidP="001B7507">
      <w:pPr>
        <w:spacing w:after="0"/>
        <w:jc w:val="both"/>
        <w:rPr>
          <w:b/>
        </w:rPr>
      </w:pPr>
    </w:p>
    <w:p w14:paraId="7601A92B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3.4 Wdrażanie strategii niskoemisyjnych:</w:t>
      </w:r>
    </w:p>
    <w:p w14:paraId="38C3DBC5" w14:textId="77777777" w:rsidR="00A23F33" w:rsidRPr="00DD0783" w:rsidRDefault="00A23F33" w:rsidP="00E71C56">
      <w:pPr>
        <w:pStyle w:val="Akapitzlist"/>
        <w:numPr>
          <w:ilvl w:val="0"/>
          <w:numId w:val="10"/>
        </w:numPr>
        <w:spacing w:after="0"/>
        <w:jc w:val="both"/>
      </w:pPr>
      <w:r w:rsidRPr="00DD0783">
        <w:t>Wydatki na i</w:t>
      </w:r>
      <w:r w:rsidRPr="00DD0783">
        <w:rPr>
          <w:rFonts w:cs="Arial"/>
        </w:rPr>
        <w:t xml:space="preserve">nwestycje infrastruktury drogowej stanowiące element uzupełniający projektu </w:t>
      </w:r>
      <w:r w:rsidRPr="00DD0783">
        <w:t>przekraczające wartość 35% wartości wydatków kwalifikowalnych w projekcie.</w:t>
      </w:r>
    </w:p>
    <w:p w14:paraId="4CD2E5DD" w14:textId="77777777" w:rsidR="0043438C" w:rsidRDefault="0043438C" w:rsidP="00E71C56">
      <w:pPr>
        <w:pStyle w:val="Akapitzlist"/>
        <w:numPr>
          <w:ilvl w:val="0"/>
          <w:numId w:val="10"/>
        </w:numPr>
        <w:jc w:val="both"/>
      </w:pPr>
      <w:r w:rsidRPr="00DD0783">
        <w:t>Wydatki na zakup środków transportu nie spełniających europejskich norm dotyczących komunikacji zbiorowej (np. bezpieczeństwa, środowiskowych, technicznych).</w:t>
      </w:r>
    </w:p>
    <w:p w14:paraId="51C92C32" w14:textId="2C778BF3" w:rsidR="005514D5" w:rsidRPr="00DD0783" w:rsidRDefault="005514D5" w:rsidP="00E71C56">
      <w:pPr>
        <w:pStyle w:val="Akapitzlist"/>
        <w:numPr>
          <w:ilvl w:val="0"/>
          <w:numId w:val="10"/>
        </w:numPr>
        <w:jc w:val="both"/>
      </w:pPr>
      <w:r w:rsidRPr="00DD0783">
        <w:t xml:space="preserve">Wydatki, </w:t>
      </w:r>
      <w:r w:rsidR="005C4AA9" w:rsidRPr="00DD0783">
        <w:t xml:space="preserve">na te elementy projektu, </w:t>
      </w:r>
      <w:r w:rsidRPr="00DD0783">
        <w:t xml:space="preserve">których nie da się </w:t>
      </w:r>
      <w:r w:rsidR="005C4AA9" w:rsidRPr="00DD0783">
        <w:t xml:space="preserve">zmierzyć wskaźnikiem produktu lub rezultatu z </w:t>
      </w:r>
      <w:r w:rsidR="00B312B9" w:rsidRPr="00DD0783">
        <w:t>S</w:t>
      </w:r>
      <w:r w:rsidR="00B312B9">
        <w:t>Z</w:t>
      </w:r>
      <w:r w:rsidR="00B312B9" w:rsidRPr="00DD0783">
        <w:t>OOP</w:t>
      </w:r>
      <w:r w:rsidR="005C4AA9" w:rsidRPr="00DD0783">
        <w:t xml:space="preserve">, np. wspólny bilet, </w:t>
      </w:r>
      <w:r w:rsidR="00616985">
        <w:t>infrastruktura niezbędna dla nisko– i bezemisyjnego taboru</w:t>
      </w:r>
      <w:r w:rsidR="007120E2">
        <w:t>,</w:t>
      </w:r>
      <w:r w:rsidR="00616985">
        <w:t xml:space="preserve"> takie jak </w:t>
      </w:r>
      <w:r w:rsidR="005C4AA9" w:rsidRPr="00DD0783">
        <w:t>stacja ładowania pojazdów elektrycznych</w:t>
      </w:r>
      <w:r w:rsidR="00616985">
        <w:t>, stacja tankowania paliw alternatywnych (np. CNG, LNG, LPG)</w:t>
      </w:r>
      <w:r w:rsidR="005C4AA9" w:rsidRPr="00DD0783">
        <w:t xml:space="preserve"> – niekwalifikowalne są wydatki ponad limit 49%</w:t>
      </w:r>
      <w:r w:rsidR="00862CCA" w:rsidRPr="00DD0783">
        <w:rPr>
          <w:rStyle w:val="Odwoanieprzypisudolnego"/>
          <w:b/>
        </w:rPr>
        <w:footnoteReference w:id="44"/>
      </w:r>
      <w:r w:rsidR="005C4AA9" w:rsidRPr="00DD0783">
        <w:t>.</w:t>
      </w:r>
      <w:r w:rsidR="00616985">
        <w:t xml:space="preserve">  W</w:t>
      </w:r>
      <w:r w:rsidR="005A2D3C">
        <w:t> </w:t>
      </w:r>
      <w:r w:rsidR="00616985">
        <w:t>przypadku infrastruktury obsługującej tabor nisko- i bezemisyjny</w:t>
      </w:r>
      <w:r w:rsidR="00B000CD">
        <w:t>,</w:t>
      </w:r>
      <w:r w:rsidR="00616985">
        <w:t xml:space="preserve"> limit 49% dotyczy </w:t>
      </w:r>
      <w:r w:rsidR="00616985">
        <w:lastRenderedPageBreak/>
        <w:t xml:space="preserve">przypadku, w którym w projekcie nie jest realizowany zakup/modernizacja taboru (typ. 3.4 </w:t>
      </w:r>
      <w:r w:rsidR="00B000CD">
        <w:t>a</w:t>
      </w:r>
      <w:r w:rsidR="00616985">
        <w:t>)</w:t>
      </w:r>
      <w:r w:rsidR="00B000CD">
        <w:t xml:space="preserve"> lecz pozostałe typy (3.4 b, c, d, e). Dla projektów polegających tylko na zakupie/modernizacji taboru (3.4 a) limit wynosi 25%.</w:t>
      </w:r>
    </w:p>
    <w:p w14:paraId="2DB15CFF" w14:textId="77777777" w:rsidR="00A23F33" w:rsidRDefault="00A23F33" w:rsidP="00E71C56">
      <w:pPr>
        <w:pStyle w:val="Akapitzlist"/>
        <w:numPr>
          <w:ilvl w:val="0"/>
          <w:numId w:val="10"/>
        </w:numPr>
        <w:jc w:val="both"/>
      </w:pPr>
      <w:r w:rsidRPr="00DD0783">
        <w:t xml:space="preserve">Powyższe limity nie podlegają sumowaniu, tzn. elementy uzupełniające muszą zawsze stanowić mniej niż </w:t>
      </w:r>
      <w:r w:rsidR="005514D5" w:rsidRPr="00DD0783">
        <w:t>49</w:t>
      </w:r>
      <w:r w:rsidRPr="00DD0783">
        <w:t>%</w:t>
      </w:r>
      <w:r w:rsidR="00862CCA" w:rsidRPr="00DD0783">
        <w:rPr>
          <w:rStyle w:val="Odwoanieprzypisudolnego"/>
        </w:rPr>
        <w:footnoteReference w:id="45"/>
      </w:r>
      <w:r w:rsidRPr="00DD0783">
        <w:t xml:space="preserve"> wydatków kwalifikowalnych w projekcie. Jeśli np. projekt składa się z</w:t>
      </w:r>
      <w:r w:rsidR="003B2988" w:rsidRPr="00DD0783">
        <w:t> </w:t>
      </w:r>
      <w:r w:rsidRPr="00DD0783">
        <w:t xml:space="preserve">budowy centrum przesiadkowego, drogi prowadzącej do centrum oraz </w:t>
      </w:r>
      <w:r w:rsidR="001E5257">
        <w:t>budowy stacji ładowania pojazdów elektrycznych</w:t>
      </w:r>
      <w:r w:rsidRPr="00DD0783">
        <w:t xml:space="preserve">, wówczas wydatki na centrum przesiadkowe powinny stanowić więcej niż </w:t>
      </w:r>
      <w:r w:rsidR="002312B7">
        <w:t>51</w:t>
      </w:r>
      <w:r w:rsidRPr="00DD0783">
        <w:t>%</w:t>
      </w:r>
      <w:r w:rsidR="00862CCA" w:rsidRPr="00DD0783">
        <w:rPr>
          <w:rStyle w:val="Odwoanieprzypisudolnego"/>
        </w:rPr>
        <w:footnoteReference w:id="46"/>
      </w:r>
      <w:r w:rsidRPr="00DD0783">
        <w:t>wydatków kwalifikowalnych, wydatki na drogę do 35% a pozostałą część wydatki na</w:t>
      </w:r>
      <w:r w:rsidR="002312B7">
        <w:t xml:space="preserve"> budowę</w:t>
      </w:r>
      <w:r w:rsidRPr="00DD0783">
        <w:t xml:space="preserve"> </w:t>
      </w:r>
      <w:r w:rsidR="002312B7">
        <w:t>stacji ładowania pojazdów elektrycznych</w:t>
      </w:r>
      <w:r w:rsidRPr="00DD0783">
        <w:t>.</w:t>
      </w:r>
    </w:p>
    <w:p w14:paraId="6994FC5F" w14:textId="46AE1859" w:rsidR="00A77673" w:rsidRPr="00746B7B" w:rsidRDefault="0022532B" w:rsidP="00746B7B">
      <w:pPr>
        <w:pStyle w:val="Akapitzlist"/>
        <w:numPr>
          <w:ilvl w:val="0"/>
          <w:numId w:val="30"/>
        </w:numPr>
        <w:spacing w:line="240" w:lineRule="auto"/>
        <w:ind w:left="360"/>
        <w:jc w:val="both"/>
        <w:rPr>
          <w:rFonts w:cs="Arial"/>
        </w:rPr>
      </w:pPr>
      <w:r>
        <w:t>Wydatki na pasy ruchu dla rowerów</w:t>
      </w:r>
      <w:r w:rsidR="0009794A">
        <w:t>, drogi</w:t>
      </w:r>
      <w:r w:rsidR="006324CA">
        <w:t xml:space="preserve"> / ścieżki</w:t>
      </w:r>
      <w:r w:rsidR="0009794A">
        <w:t xml:space="preserve"> rowerowe nie będące drogami dla rowerów </w:t>
      </w:r>
      <w:r w:rsidR="0009794A" w:rsidRPr="008D002F">
        <w:rPr>
          <w:rFonts w:cs="Arial"/>
        </w:rPr>
        <w:t>zgodnie z definicją z ustawy z dnia 20 czerwca 1997 r. Prawo o ruchu drogowym</w:t>
      </w:r>
      <w:r w:rsidR="00746B7B">
        <w:rPr>
          <w:rFonts w:cs="Arial"/>
        </w:rPr>
        <w:t>.</w:t>
      </w:r>
      <w:r w:rsidR="0009794A" w:rsidRPr="008D002F">
        <w:rPr>
          <w:rFonts w:cs="Arial"/>
        </w:rPr>
        <w:t xml:space="preserve"> </w:t>
      </w:r>
      <w:r w:rsidR="001113B7" w:rsidRPr="008D002F">
        <w:rPr>
          <w:rFonts w:cs="Arial"/>
        </w:rPr>
        <w:t xml:space="preserve">Dodatkowo </w:t>
      </w:r>
      <w:r w:rsidR="00A77673" w:rsidRPr="008D002F">
        <w:rPr>
          <w:rFonts w:cs="Arial"/>
        </w:rPr>
        <w:t xml:space="preserve">dla typu </w:t>
      </w:r>
      <w:r w:rsidR="001113B7" w:rsidRPr="008D002F">
        <w:rPr>
          <w:rFonts w:cs="Arial"/>
        </w:rPr>
        <w:t>3.4 e</w:t>
      </w:r>
      <w:r w:rsidR="001113B7" w:rsidRPr="00746B7B">
        <w:rPr>
          <w:rFonts w:ascii="Calibri" w:hAnsi="Calibri" w:cstheme="minorHAnsi"/>
          <w:bCs/>
          <w:szCs w:val="24"/>
        </w:rPr>
        <w:t xml:space="preserve"> inwestycje związane z energooszczędnym oświetleniem ulicznym i drogowym przy drogach publicznych:</w:t>
      </w:r>
    </w:p>
    <w:p w14:paraId="31BC57FE" w14:textId="724A0671" w:rsidR="001113B7" w:rsidRPr="0045119D" w:rsidRDefault="001113B7" w:rsidP="001113B7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45119D">
        <w:t>Wydatki na audyt efektywności energetycznej sporządzony wcześniej niż dwa lata przed rokiem ogłoszenia konkursu.</w:t>
      </w:r>
    </w:p>
    <w:p w14:paraId="21886E30" w14:textId="7036BBA1" w:rsidR="001113B7" w:rsidRPr="0045119D" w:rsidRDefault="001113B7" w:rsidP="001113B7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45119D">
        <w:t xml:space="preserve">Wydatki na budowę nowych odcinków oświetlenia </w:t>
      </w:r>
      <w:r w:rsidRPr="0045119D">
        <w:rPr>
          <w:rFonts w:eastAsia="Times New Roman"/>
        </w:rPr>
        <w:t>powstające poza krańcami obszaru objętego projektem (rozumianego jako istniejący obecnie system oświetlenia) lub na obszarach, które nie były wcześniej oświetlone.</w:t>
      </w:r>
    </w:p>
    <w:p w14:paraId="2BDBFE6D" w14:textId="2411A3D9" w:rsidR="001113B7" w:rsidRDefault="001113B7" w:rsidP="00E71C56">
      <w:pPr>
        <w:pStyle w:val="Akapitzlist"/>
        <w:numPr>
          <w:ilvl w:val="0"/>
          <w:numId w:val="30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Wydatki na oświetlenie, które nie jest finansowane przez gminę na podstawie </w:t>
      </w:r>
      <w:r w:rsidRPr="001113B7">
        <w:rPr>
          <w:rFonts w:cs="Arial"/>
        </w:rPr>
        <w:t>art. 18 ust. 1 pkt. 3 ustawy z dnia 10 kwietnia 1997 r. prawo energetyczne</w:t>
      </w:r>
      <w:r>
        <w:rPr>
          <w:rFonts w:cs="Arial"/>
        </w:rPr>
        <w:t>.</w:t>
      </w:r>
    </w:p>
    <w:p w14:paraId="53C77C92" w14:textId="284E2B40" w:rsidR="001113B7" w:rsidRPr="00B43F6B" w:rsidRDefault="001113B7" w:rsidP="00E71C56">
      <w:pPr>
        <w:pStyle w:val="Akapitzlist"/>
        <w:numPr>
          <w:ilvl w:val="0"/>
          <w:numId w:val="30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Wydatki na oświetlenie </w:t>
      </w:r>
      <w:r w:rsidRPr="00D47891">
        <w:rPr>
          <w:color w:val="000000"/>
        </w:rPr>
        <w:t xml:space="preserve">w gminach miejsko – wiejskich </w:t>
      </w:r>
      <w:r w:rsidR="008640C5">
        <w:rPr>
          <w:color w:val="000000"/>
        </w:rPr>
        <w:t xml:space="preserve">jeśli </w:t>
      </w:r>
      <w:r w:rsidRPr="00D47891">
        <w:rPr>
          <w:color w:val="000000"/>
        </w:rPr>
        <w:t xml:space="preserve">co najmniej 35% ilości modernizowanych opraw </w:t>
      </w:r>
      <w:r w:rsidR="008640C5">
        <w:rPr>
          <w:color w:val="000000"/>
        </w:rPr>
        <w:t xml:space="preserve">nie znajduje się na </w:t>
      </w:r>
      <w:r w:rsidRPr="00D47891">
        <w:rPr>
          <w:color w:val="000000"/>
        </w:rPr>
        <w:t>teren</w:t>
      </w:r>
      <w:r w:rsidR="008640C5">
        <w:rPr>
          <w:color w:val="000000"/>
        </w:rPr>
        <w:t>ie</w:t>
      </w:r>
      <w:r w:rsidRPr="00D47891">
        <w:rPr>
          <w:color w:val="000000"/>
        </w:rPr>
        <w:t xml:space="preserve"> miasta</w:t>
      </w:r>
      <w:r w:rsidR="008640C5">
        <w:rPr>
          <w:color w:val="000000"/>
        </w:rPr>
        <w:t>.</w:t>
      </w:r>
    </w:p>
    <w:p w14:paraId="1916A69B" w14:textId="0D83311F" w:rsidR="000E1A11" w:rsidRPr="0009794A" w:rsidRDefault="000E1A11" w:rsidP="00E71C56">
      <w:pPr>
        <w:pStyle w:val="Akapitzlist"/>
        <w:numPr>
          <w:ilvl w:val="0"/>
          <w:numId w:val="30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Wydatki </w:t>
      </w:r>
      <w:r w:rsidR="008640C5">
        <w:rPr>
          <w:rFonts w:cs="Arial"/>
        </w:rPr>
        <w:t xml:space="preserve">na oświetlenie </w:t>
      </w:r>
      <w:r>
        <w:rPr>
          <w:rFonts w:cs="Arial"/>
        </w:rPr>
        <w:t xml:space="preserve">w gminach </w:t>
      </w:r>
      <w:r w:rsidR="008640C5">
        <w:rPr>
          <w:rFonts w:cs="Arial"/>
        </w:rPr>
        <w:t>wiejskich.</w:t>
      </w:r>
    </w:p>
    <w:p w14:paraId="03D4E18B" w14:textId="77777777" w:rsidR="00A23F33" w:rsidRPr="00DD0783" w:rsidRDefault="00FD7775" w:rsidP="001B7507">
      <w:pPr>
        <w:spacing w:after="0"/>
        <w:jc w:val="both"/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3.5</w:t>
      </w:r>
      <w:r w:rsidR="00A23F33" w:rsidRPr="00DD0783">
        <w:t xml:space="preserve"> </w:t>
      </w:r>
      <w:r w:rsidR="00A23F33" w:rsidRPr="00DD0783">
        <w:rPr>
          <w:b/>
        </w:rPr>
        <w:t>Wysokosprawna Kogeneracja:</w:t>
      </w:r>
    </w:p>
    <w:p w14:paraId="18DD3FF4" w14:textId="77777777" w:rsidR="00A23F33" w:rsidRPr="00DD0783" w:rsidRDefault="00A23F33" w:rsidP="001B7507">
      <w:pPr>
        <w:spacing w:after="0"/>
        <w:ind w:left="726" w:hanging="363"/>
        <w:jc w:val="both"/>
      </w:pPr>
      <w:r w:rsidRPr="00DD0783">
        <w:t>•</w:t>
      </w:r>
      <w:r w:rsidRPr="00DD0783">
        <w:tab/>
        <w:t xml:space="preserve">Wydatki poniesione na wykonanie wewnętrznej instalacji odbiorczej z wyłączeniem sytuacji, w której wytwarzana energia służy m.in. zaspokojeniu potrzeb własnych.  </w:t>
      </w:r>
    </w:p>
    <w:p w14:paraId="7AEB3ECA" w14:textId="77777777" w:rsidR="00A23F33" w:rsidRPr="00DD0783" w:rsidRDefault="00A23F33" w:rsidP="00E71C56">
      <w:pPr>
        <w:pStyle w:val="Akapitzlist"/>
        <w:numPr>
          <w:ilvl w:val="0"/>
          <w:numId w:val="19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2DD4D2B4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działania związane z utrzymaniem funkcjonowania źródła energii oraz zwykła wymiana części, które podlegałyby wymianie w trakcie zwykłego okresu eksploatacji przedmiotowej instalacji, nie prowadzące do wydłużenia przewidywanego okresu jej ekonomicznego wykorzystania. </w:t>
      </w:r>
    </w:p>
    <w:p w14:paraId="58A41F07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iCs/>
          <w:color w:val="1F497D" w:themeColor="text2"/>
        </w:rPr>
      </w:pPr>
      <w:r w:rsidRPr="00DD0783">
        <w:t>Wydatki związane z działaniami informacyjno-promocyjnymi projektu.</w:t>
      </w:r>
    </w:p>
    <w:p w14:paraId="2B472F01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4.1 Gospodarka odpadami:</w:t>
      </w:r>
    </w:p>
    <w:p w14:paraId="64E2FC92" w14:textId="77777777" w:rsidR="00A23F33" w:rsidRPr="00DD0783" w:rsidRDefault="00A23F33" w:rsidP="00E71C56">
      <w:pPr>
        <w:pStyle w:val="Akapitzlist"/>
        <w:numPr>
          <w:ilvl w:val="0"/>
          <w:numId w:val="6"/>
        </w:numPr>
        <w:spacing w:after="0"/>
        <w:jc w:val="both"/>
        <w:rPr>
          <w:b/>
        </w:rPr>
      </w:pPr>
      <w:r w:rsidRPr="00DD0783">
        <w:t>Zakup środków transportu, z wyłączeniem specjalistycznych środków transportu odpadów.</w:t>
      </w:r>
    </w:p>
    <w:p w14:paraId="73006A9E" w14:textId="77777777" w:rsidR="00A23F33" w:rsidRPr="00DD0783" w:rsidRDefault="00A23F33" w:rsidP="00E71C56">
      <w:pPr>
        <w:pStyle w:val="Akapitzlist"/>
        <w:numPr>
          <w:ilvl w:val="0"/>
          <w:numId w:val="6"/>
        </w:numPr>
        <w:jc w:val="both"/>
        <w:rPr>
          <w:b/>
        </w:rPr>
      </w:pPr>
      <w:r w:rsidRPr="00DD0783">
        <w:t>Wydatki poniesione na instalacje służące do odzysku energii z odpadów przekraczające 49% wartości całkowitych wydatków kwalifikowalnych projektu.</w:t>
      </w:r>
    </w:p>
    <w:p w14:paraId="720719B8" w14:textId="77777777" w:rsidR="00A23F33" w:rsidRPr="00DD0783" w:rsidRDefault="00FD7775" w:rsidP="001B7507">
      <w:pPr>
        <w:spacing w:after="0"/>
        <w:jc w:val="both"/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4.2 Gospodarka</w:t>
      </w:r>
      <w:r w:rsidR="00A23F33" w:rsidRPr="00DD0783">
        <w:rPr>
          <w:rFonts w:eastAsia="TTE1ABE920t00"/>
          <w:b/>
        </w:rPr>
        <w:t xml:space="preserve"> wodno-ściekowa:</w:t>
      </w:r>
    </w:p>
    <w:p w14:paraId="293F3494" w14:textId="0F072F6E" w:rsidR="00E74430" w:rsidRPr="00E74430" w:rsidRDefault="00A23F33" w:rsidP="00E74430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DD0783">
        <w:t>Zakup środków transportu</w:t>
      </w:r>
      <w:r w:rsidR="00E74430">
        <w:t xml:space="preserve"> oraz s</w:t>
      </w:r>
      <w:r w:rsidRPr="00DD0783">
        <w:t xml:space="preserve">pecjalistycznych środków transportu niezbędnych do prawidłowego funkcjonowania gospodarki wodno-ściekowej w aglomeracjach </w:t>
      </w:r>
      <w:r w:rsidRPr="00DD0783">
        <w:rPr>
          <w:rFonts w:cs="Arial"/>
        </w:rPr>
        <w:t>uwzględnionych w </w:t>
      </w:r>
      <w:r w:rsidRPr="00DD0783">
        <w:t xml:space="preserve">Krajowym Programie Oczyszczania Ścieków Komunalnych (KPOŚK) – od </w:t>
      </w:r>
      <w:r w:rsidRPr="00DD0783">
        <w:lastRenderedPageBreak/>
        <w:t>2</w:t>
      </w:r>
      <w:r w:rsidR="00E967B2">
        <w:t> </w:t>
      </w:r>
      <w:r w:rsidRPr="00DD0783">
        <w:t>do 10 tys. RLM</w:t>
      </w:r>
      <w:r w:rsidR="00E74430">
        <w:t xml:space="preserve"> (w tym wozów asenizacyjnych) przekraczających 20% wydatków kwalifikowalnych projektu. </w:t>
      </w:r>
    </w:p>
    <w:p w14:paraId="6935B6A8" w14:textId="77777777" w:rsidR="00A23F33" w:rsidRPr="00DD0783" w:rsidRDefault="00A23F33" w:rsidP="00E71C56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DD0783">
        <w:t xml:space="preserve">Wydatki na infrastrukturę wodociągową stanowiące powyżej 15% kosztów kwalifikowalnych całkowitych projektu regulującego gospodarkę wodno-ściekową na terenie aglomeracji </w:t>
      </w:r>
      <w:r w:rsidRPr="00DD0783">
        <w:rPr>
          <w:rFonts w:cs="Arial"/>
        </w:rPr>
        <w:t>uwzględnionej w </w:t>
      </w:r>
      <w:r w:rsidRPr="00DD0783">
        <w:t>Krajowym Programie Oczyszczania Ścieków Komunalnych (KPOŚK) – od 2 do 10 tys. RLM.</w:t>
      </w:r>
    </w:p>
    <w:p w14:paraId="4CAD4829" w14:textId="77777777" w:rsidR="00A23F33" w:rsidRDefault="00A23F33" w:rsidP="00E71C56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cs="Times New Roman"/>
        </w:rPr>
      </w:pPr>
      <w:r w:rsidRPr="00DD0783">
        <w:rPr>
          <w:rFonts w:cs="Times New Roman"/>
        </w:rPr>
        <w:t>Wydatki na infrastrukturę wodno-kanalizacyjną zlokalizowaną poza granicami aglomeracji uwzględnionej w Krajowym Programie Oczyszczania Ścieków Komunalnych (KPOŚK) – od 2 do 10 tys. RLM.</w:t>
      </w:r>
    </w:p>
    <w:p w14:paraId="2EB633C6" w14:textId="77777777" w:rsidR="002D017D" w:rsidRDefault="00455244" w:rsidP="002F5739">
      <w:pPr>
        <w:pStyle w:val="Akapitzlist"/>
        <w:numPr>
          <w:ilvl w:val="0"/>
          <w:numId w:val="31"/>
        </w:numPr>
        <w:jc w:val="both"/>
      </w:pPr>
      <w:r w:rsidRPr="00455244">
        <w:rPr>
          <w:rFonts w:cs="Times New Roman"/>
        </w:rPr>
        <w:t>Wydatki poniesione na budowę przyłączy kanalizacyjnych i wodociągowych,</w:t>
      </w:r>
      <w:r w:rsidR="002D017D" w:rsidRPr="00455244" w:rsidDel="002D017D">
        <w:rPr>
          <w:rFonts w:cs="Times New Roman"/>
        </w:rPr>
        <w:t xml:space="preserve"> </w:t>
      </w:r>
      <w:r w:rsidR="002D017D">
        <w:t>zdefiniowanych w pkt. 5 i 6 art. 2 ustawy z dnia 7 czerwca 2001 r. o z</w:t>
      </w:r>
      <w:r w:rsidR="00E967B2">
        <w:t>biorowym zaopatrzeniu w wodę i </w:t>
      </w:r>
      <w:r w:rsidR="005D0B21">
        <w:t>zbiorowym odprowadzaniu ścieków</w:t>
      </w:r>
      <w:r w:rsidR="002D017D">
        <w:t>, tj.:</w:t>
      </w:r>
    </w:p>
    <w:p w14:paraId="1EECF578" w14:textId="77777777" w:rsidR="002D017D" w:rsidRDefault="002D017D" w:rsidP="00A476E8">
      <w:pPr>
        <w:pStyle w:val="Akapitzlist"/>
        <w:numPr>
          <w:ilvl w:val="0"/>
          <w:numId w:val="33"/>
        </w:numPr>
        <w:ind w:left="993" w:hanging="284"/>
        <w:jc w:val="both"/>
      </w:pPr>
      <w:r>
        <w:t>przyłącze kanalizacyjne - odcinek przewodu łączącego wewnęt</w:t>
      </w:r>
      <w:r w:rsidR="00E967B2">
        <w:t>rzną instalację kanalizacyjną w </w:t>
      </w:r>
      <w:r>
        <w:t>nieruchomości odbiorcy usług z siecią kanalizacyjną, za pierwszą studzienką, licząc od strony budynku, a w przypadku jej braku do granicy nieruchomości gruntowej;</w:t>
      </w:r>
    </w:p>
    <w:p w14:paraId="0391BB76" w14:textId="77777777" w:rsidR="002D017D" w:rsidRDefault="002D017D" w:rsidP="00A476E8">
      <w:pPr>
        <w:pStyle w:val="Akapitzlist"/>
        <w:numPr>
          <w:ilvl w:val="0"/>
          <w:numId w:val="33"/>
        </w:numPr>
        <w:ind w:left="993" w:hanging="284"/>
        <w:jc w:val="both"/>
      </w:pPr>
      <w:r>
        <w:t>przyłącze wodociągowe - odcinek przewodu łączącego sieć wodociągową z wewnętrzną instalacją wodociągową w nieruchomości odbiorcy usług wraz z zaworem za wodomierzem głównym</w:t>
      </w:r>
      <w:r w:rsidR="00664239">
        <w:t>.</w:t>
      </w:r>
    </w:p>
    <w:p w14:paraId="08D1608F" w14:textId="77777777" w:rsidR="00455244" w:rsidRPr="0028003C" w:rsidRDefault="00455244" w:rsidP="002F5739">
      <w:pPr>
        <w:pStyle w:val="Akapitzlist"/>
        <w:spacing w:after="0"/>
        <w:jc w:val="both"/>
        <w:rPr>
          <w:rFonts w:cs="Times New Roman"/>
        </w:rPr>
      </w:pPr>
    </w:p>
    <w:p w14:paraId="6371F463" w14:textId="77777777" w:rsidR="006B4515" w:rsidRDefault="006B4515" w:rsidP="003B2988">
      <w:pPr>
        <w:pStyle w:val="Akapitzlist"/>
        <w:spacing w:after="0"/>
        <w:ind w:left="714"/>
        <w:jc w:val="both"/>
        <w:rPr>
          <w:rFonts w:cs="Times New Roman"/>
        </w:rPr>
      </w:pPr>
    </w:p>
    <w:p w14:paraId="25B95AC6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4.3 Dziedzictwo kulturowe:</w:t>
      </w:r>
    </w:p>
    <w:p w14:paraId="52DC2B7B" w14:textId="77777777" w:rsidR="00A23F33" w:rsidRPr="00DD0783" w:rsidRDefault="00A23F33" w:rsidP="00E71C56">
      <w:pPr>
        <w:pStyle w:val="Akapitzlist"/>
        <w:numPr>
          <w:ilvl w:val="0"/>
          <w:numId w:val="8"/>
        </w:numPr>
        <w:spacing w:after="0"/>
        <w:jc w:val="both"/>
      </w:pPr>
      <w:r w:rsidRPr="00DD0783">
        <w:t xml:space="preserve">Wydatki związane z termomodernizacją, przekraczające 49% wartości całkowitych wydatków kwalifikowalnych projektu. </w:t>
      </w:r>
    </w:p>
    <w:p w14:paraId="637CE772" w14:textId="77777777" w:rsidR="00A23F33" w:rsidRPr="00DD0783" w:rsidRDefault="00A23F33" w:rsidP="00E71C56">
      <w:pPr>
        <w:pStyle w:val="Akapitzlist"/>
        <w:numPr>
          <w:ilvl w:val="0"/>
          <w:numId w:val="8"/>
        </w:numPr>
        <w:jc w:val="both"/>
      </w:pPr>
      <w:r w:rsidRPr="00DD0783">
        <w:t>Zakup (ruchomych i nieruchomych) dzieł sztuki, w tym m.in. nabycie praw do nich.</w:t>
      </w:r>
    </w:p>
    <w:p w14:paraId="49C7F17B" w14:textId="77777777" w:rsidR="00A23F33" w:rsidRPr="00DD0783" w:rsidRDefault="00A23F33" w:rsidP="00E71C56">
      <w:pPr>
        <w:pStyle w:val="Akapitzlist"/>
        <w:numPr>
          <w:ilvl w:val="0"/>
          <w:numId w:val="8"/>
        </w:numPr>
        <w:spacing w:after="0"/>
        <w:ind w:left="714" w:hanging="357"/>
        <w:contextualSpacing w:val="0"/>
        <w:jc w:val="both"/>
        <w:rPr>
          <w:rFonts w:cs="Times New Roman"/>
        </w:rPr>
      </w:pPr>
      <w:r w:rsidRPr="00DD0783">
        <w:t>Wydatki na infrastrukturę towarzyszącą (np. drogi, chodniki, parkingi) stanowiące powyżej 15% całkowitych kosztów kwalifikowalnych projektu.</w:t>
      </w:r>
      <w:r w:rsidRPr="00DD0783">
        <w:rPr>
          <w:rFonts w:cs="Times New Roman"/>
        </w:rPr>
        <w:t xml:space="preserve"> </w:t>
      </w:r>
    </w:p>
    <w:p w14:paraId="1687D932" w14:textId="77777777" w:rsidR="006B4515" w:rsidRPr="00DD0783" w:rsidRDefault="006B4515" w:rsidP="003B2988">
      <w:pPr>
        <w:pStyle w:val="Akapitzlist"/>
        <w:spacing w:after="0"/>
        <w:ind w:left="714"/>
        <w:contextualSpacing w:val="0"/>
        <w:jc w:val="both"/>
        <w:rPr>
          <w:rFonts w:cs="Times New Roman"/>
        </w:rPr>
      </w:pPr>
    </w:p>
    <w:p w14:paraId="74A42103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4.4 Ochrona i udostępnianie zasobów przyrodniczych:</w:t>
      </w:r>
    </w:p>
    <w:p w14:paraId="1EF26A74" w14:textId="77777777" w:rsidR="000F7BCE" w:rsidRDefault="00A23F33" w:rsidP="00B43F6B">
      <w:pPr>
        <w:pStyle w:val="Akapitzlist"/>
        <w:numPr>
          <w:ilvl w:val="0"/>
          <w:numId w:val="9"/>
        </w:numPr>
        <w:spacing w:after="0"/>
        <w:jc w:val="both"/>
      </w:pPr>
      <w:r w:rsidRPr="00DD0783">
        <w:t>Wydatki na wyposażenie parków krajobrazowych i rezerwatów nie przyczyniające się bezpośrednio do czynnej ochrony przyrody.</w:t>
      </w:r>
    </w:p>
    <w:p w14:paraId="5E0FB03B" w14:textId="1FE8E04E" w:rsidR="001E5BD1" w:rsidRPr="00D109AA" w:rsidRDefault="000F7BCE" w:rsidP="00B43F6B">
      <w:pPr>
        <w:pStyle w:val="Akapitzlist"/>
        <w:numPr>
          <w:ilvl w:val="0"/>
          <w:numId w:val="9"/>
        </w:numPr>
        <w:spacing w:after="0"/>
        <w:jc w:val="both"/>
      </w:pPr>
      <w:r>
        <w:t xml:space="preserve">Wydatki przekraczające </w:t>
      </w:r>
      <w:r w:rsidR="009429E9">
        <w:t>4</w:t>
      </w:r>
      <w:r>
        <w:t xml:space="preserve">0% wydatków kwalifikowalnych projektu </w:t>
      </w:r>
      <w:r w:rsidR="001E5BD1" w:rsidRPr="00D109AA">
        <w:t>na zwiększenie dostępności do dofinansowywanej infrastruktury np.</w:t>
      </w:r>
      <w:r w:rsidR="001E5BD1">
        <w:t xml:space="preserve"> w postaci ścieżek rowerowych</w:t>
      </w:r>
      <w:r w:rsidR="001E5BD1" w:rsidRPr="00D109AA">
        <w:t xml:space="preserve"> (z wyłączeniem dróg publicznych w rozumieniu ustawy z dnia 21 marca 1985 r. o drogach publicznych)</w:t>
      </w:r>
      <w:r w:rsidR="001E5BD1">
        <w:t xml:space="preserve"> – dot. schem</w:t>
      </w:r>
      <w:r w:rsidR="005D6DC1">
        <w:t>a</w:t>
      </w:r>
      <w:r w:rsidR="001E5BD1">
        <w:t>tu 4.4.H</w:t>
      </w:r>
    </w:p>
    <w:p w14:paraId="14EE7E5F" w14:textId="77777777" w:rsidR="001E5BD1" w:rsidRDefault="001E5BD1" w:rsidP="00B43F6B">
      <w:pPr>
        <w:pStyle w:val="Akapitzlist"/>
        <w:spacing w:after="0"/>
        <w:jc w:val="both"/>
      </w:pPr>
    </w:p>
    <w:p w14:paraId="76A2C941" w14:textId="77777777" w:rsidR="001E5BD1" w:rsidRDefault="001E5BD1" w:rsidP="00B43F6B">
      <w:pPr>
        <w:pStyle w:val="Akapitzlist"/>
        <w:spacing w:after="0"/>
        <w:jc w:val="both"/>
      </w:pPr>
    </w:p>
    <w:p w14:paraId="4CB2714D" w14:textId="77777777" w:rsidR="001B7507" w:rsidRPr="00DD0783" w:rsidRDefault="001B7507" w:rsidP="001B7507">
      <w:pPr>
        <w:pStyle w:val="Akapitzlist"/>
        <w:spacing w:after="0"/>
        <w:jc w:val="both"/>
      </w:pPr>
    </w:p>
    <w:p w14:paraId="74B183EA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4.5 Bezpieczeństwo:</w:t>
      </w:r>
    </w:p>
    <w:p w14:paraId="591EAC41" w14:textId="77777777" w:rsidR="00A23F33" w:rsidRPr="00DD0783" w:rsidRDefault="00A23F33" w:rsidP="00E71C56">
      <w:pPr>
        <w:pStyle w:val="Akapitzlist"/>
        <w:numPr>
          <w:ilvl w:val="0"/>
          <w:numId w:val="9"/>
        </w:numPr>
        <w:spacing w:after="0"/>
        <w:jc w:val="both"/>
      </w:pPr>
      <w:r w:rsidRPr="00DD0783">
        <w:t>W przypadku realizacji projektów na potrzeby systemu monitoringu i zagrożeń – wydatki na zakup używanego sprzętu i wyposażenia.</w:t>
      </w:r>
    </w:p>
    <w:p w14:paraId="08C32A62" w14:textId="77777777" w:rsidR="00A23F33" w:rsidRPr="00DD0783" w:rsidRDefault="00A23F33" w:rsidP="00E71C56">
      <w:pPr>
        <w:pStyle w:val="Akapitzlist"/>
        <w:numPr>
          <w:ilvl w:val="0"/>
          <w:numId w:val="9"/>
        </w:numPr>
        <w:jc w:val="both"/>
      </w:pPr>
      <w:r w:rsidRPr="00DD0783">
        <w:t>W przypadku realizacji projektów na potrzeby służb ratowniczych – wydatki na zakup używanego sprzętu i wyposażenia oraz wydatki na budowę/przebudowę, remont, itp. infrastruktury niezbędnej do przechowywani</w:t>
      </w:r>
      <w:r w:rsidR="00DE4173" w:rsidRPr="00DD0783">
        <w:t>a</w:t>
      </w:r>
      <w:r w:rsidRPr="00DD0783">
        <w:t xml:space="preserve"> zakupionego w ramach projektu sprzętu, stanowiące powyżej 25% całkowitych kosztów kwalifikowalnych projektu.</w:t>
      </w:r>
    </w:p>
    <w:p w14:paraId="423DB33D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lastRenderedPageBreak/>
        <w:t xml:space="preserve">Działanie </w:t>
      </w:r>
      <w:r w:rsidR="00A23F33" w:rsidRPr="00DD0783">
        <w:rPr>
          <w:b/>
        </w:rPr>
        <w:t>5.1 Drogowa dostępność transportowa:</w:t>
      </w:r>
    </w:p>
    <w:p w14:paraId="5412097E" w14:textId="77777777" w:rsidR="00A23F33" w:rsidRPr="00DD0783" w:rsidRDefault="00A23F33" w:rsidP="00E71C56">
      <w:pPr>
        <w:pStyle w:val="Akapitzlist"/>
        <w:numPr>
          <w:ilvl w:val="0"/>
          <w:numId w:val="13"/>
        </w:numPr>
        <w:spacing w:after="0"/>
        <w:jc w:val="both"/>
      </w:pPr>
      <w:r w:rsidRPr="00DD0783">
        <w:t>Wydatki na zakup (w tym leasing) sprzętu służącego do utrzymania lub remontu dróg.</w:t>
      </w:r>
    </w:p>
    <w:p w14:paraId="53031AE9" w14:textId="77777777" w:rsidR="00A23F33" w:rsidRPr="00DD0783" w:rsidRDefault="00A23F33" w:rsidP="00E71C56">
      <w:pPr>
        <w:pStyle w:val="Akapitzlist"/>
        <w:numPr>
          <w:ilvl w:val="0"/>
          <w:numId w:val="13"/>
        </w:numPr>
        <w:jc w:val="both"/>
      </w:pPr>
      <w:r w:rsidRPr="00DD0783">
        <w:t>W przypadku projektów dotyczących budowy i przebudowy dróg niektóre wydatki na tzw. infrastrukturę towarzyszącą, stanowiącą wyposażenie techniczne dróg</w:t>
      </w:r>
      <w:r w:rsidRPr="00DD0783">
        <w:rPr>
          <w:rStyle w:val="Odwoanieprzypisudolnego"/>
        </w:rPr>
        <w:footnoteReference w:id="47"/>
      </w:r>
      <w:r w:rsidRPr="00DD0783">
        <w:t xml:space="preserve"> można uznać za kwalifikowalne zgodnie z poniższymi regułami:</w:t>
      </w:r>
    </w:p>
    <w:p w14:paraId="392C4B50" w14:textId="77777777" w:rsidR="00A23F33" w:rsidRPr="00DD0783" w:rsidRDefault="00A23F33" w:rsidP="00E71C56">
      <w:pPr>
        <w:numPr>
          <w:ilvl w:val="0"/>
          <w:numId w:val="15"/>
        </w:numPr>
        <w:spacing w:after="0"/>
        <w:jc w:val="both"/>
      </w:pPr>
      <w:r w:rsidRPr="00DD0783">
        <w:t>urządzenia odwadniające oraz odprowadzające wodę (np. rowy odwadniające, urządzenia ściekowe, kanalizacja deszczowa) – stanowią w całości wydatek kwalifikowalny;</w:t>
      </w:r>
    </w:p>
    <w:p w14:paraId="735220C3" w14:textId="77777777" w:rsidR="00A23F33" w:rsidRPr="00DD0783" w:rsidRDefault="00A23F33" w:rsidP="00E71C56">
      <w:pPr>
        <w:numPr>
          <w:ilvl w:val="0"/>
          <w:numId w:val="15"/>
        </w:numPr>
        <w:spacing w:after="0"/>
        <w:jc w:val="both"/>
      </w:pPr>
      <w:r w:rsidRPr="00DD0783">
        <w:t>urządzenia oświetleniowe – stanowią w całości wydatek kwalifikowalny, jeśli obowiązek ich budowy lub instalacji wynika z przepisów prawa, w przeciwnym razie mogą stanowić wydatek kwalifikowalny do wysokości 25% wydatków kwalifikowalnych w projekcie;</w:t>
      </w:r>
    </w:p>
    <w:p w14:paraId="30BFDDD7" w14:textId="77777777" w:rsidR="00A23F33" w:rsidRPr="00DD0783" w:rsidRDefault="00A23F33" w:rsidP="00E71C56">
      <w:pPr>
        <w:numPr>
          <w:ilvl w:val="0"/>
          <w:numId w:val="15"/>
        </w:numPr>
        <w:spacing w:after="0"/>
        <w:jc w:val="both"/>
      </w:pPr>
      <w:r w:rsidRPr="00DD0783">
        <w:t>obiekty i urządzenia obsługi uczestników ruchu, takie jak zatoki postojowe, zatoki autobusowe, perony tramwajowe, pętle autobusowe, place do zawracania, mijanki, przejścia dla pieszych, punkty kontroli samochodów ciężarowych, miejsca obsługi podróżnych typu I o funkcji wypoczynkowej (MOP-I</w:t>
      </w:r>
      <w:r w:rsidRPr="00DD0783">
        <w:rPr>
          <w:rStyle w:val="Odwoanieprzypisudolnego"/>
        </w:rPr>
        <w:footnoteReference w:id="48"/>
      </w:r>
      <w:r w:rsidRPr="00DD0783">
        <w:t>), mogą stanowić wydatek kwalifikowalny do wysokości 25% wydatków kwalifikowalnych w projekcie. Wydatki na MOP typu II i III</w:t>
      </w:r>
      <w:r w:rsidRPr="00DD0783">
        <w:rPr>
          <w:rStyle w:val="Odwoanieprzypisudolnego"/>
        </w:rPr>
        <w:footnoteReference w:id="49"/>
      </w:r>
      <w:r w:rsidRPr="00DD0783">
        <w:t xml:space="preserve"> o funkcji wypoczynkowo-usługowej mogą stanowić wydatek kwalifikowalny tylko w części wypoczynkowej odpowiadającej MOP-I do wysokości 25% wydatków kwalifikowalnych w projekcie. Wydatki na budowę miejsc poboru opłat (MPO) stanowią wydatek niekwalifikowalny;</w:t>
      </w:r>
    </w:p>
    <w:p w14:paraId="4BAE4477" w14:textId="77777777" w:rsidR="00A23F33" w:rsidRPr="00DD0783" w:rsidRDefault="00A23F33" w:rsidP="00E71C56">
      <w:pPr>
        <w:numPr>
          <w:ilvl w:val="0"/>
          <w:numId w:val="15"/>
        </w:numPr>
        <w:spacing w:after="120"/>
        <w:jc w:val="both"/>
      </w:pPr>
      <w:r w:rsidRPr="00DD0783">
        <w:t>urządzenia techniczne drogi (np. bariery ochronne, ogrodzenie drogi i inne urządzenia zabezpieczające przed wkroczeniem zwierząt na drogę, osłony przeciwolśnieniowe, osłony przeciwwietrzne) mogą stanowić wydatek kwalifikowalny do wysokości 25% wydatk</w:t>
      </w:r>
      <w:r w:rsidR="003B2988" w:rsidRPr="00DD0783">
        <w:t>ów kwalifikowalnych w projekcie;</w:t>
      </w:r>
    </w:p>
    <w:p w14:paraId="77856E61" w14:textId="77777777" w:rsidR="00A23F33" w:rsidRPr="00DD0783" w:rsidRDefault="00A23F33" w:rsidP="00E71C56">
      <w:pPr>
        <w:numPr>
          <w:ilvl w:val="0"/>
          <w:numId w:val="15"/>
        </w:numPr>
        <w:spacing w:after="120"/>
        <w:jc w:val="both"/>
      </w:pPr>
      <w:r w:rsidRPr="00DD0783">
        <w:t>Limity z punktów 2, 3 i 4 liczone są łącznie, tzn. wydatki w tych kategoriach w sumie nie mogą przekroczyć 25% wydatków kwalifikowalnych w projekcie.</w:t>
      </w:r>
    </w:p>
    <w:p w14:paraId="54E887AF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Wydatki związane z budową, przebudową, modernizacją i/lub remontem infrastruktury technicznej w pasie drogowym niezwiązanej z drogą (np. linie elektroenergetyczne wysokiego i niskiego napięcia oraz linie telekomunikacyjne, przewody kanalizacyjne niesłużące do odwodnienia drogi, gazowe, ciepłownicze i wodociągowe, urządzenia wodnych melioracji, urządzenia podziemne specjalnego przeznaczenia, ciągi transportowe) z wyłączeniem wydatków związanych z przeprowadzeniem robót budowlanych związanych z uniknięciem kolizji z sieciami istniejącymi w pasie drogowym.</w:t>
      </w:r>
    </w:p>
    <w:p w14:paraId="77AA1592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5.2 System transportu kolejowego:</w:t>
      </w:r>
    </w:p>
    <w:p w14:paraId="530A6970" w14:textId="77777777" w:rsidR="00A23F33" w:rsidRPr="00DD0783" w:rsidRDefault="00A23F33" w:rsidP="00E71C56">
      <w:pPr>
        <w:pStyle w:val="Akapitzlist"/>
        <w:numPr>
          <w:ilvl w:val="0"/>
          <w:numId w:val="14"/>
        </w:numPr>
        <w:spacing w:after="0"/>
        <w:jc w:val="both"/>
      </w:pPr>
      <w:r w:rsidRPr="00DD0783">
        <w:t xml:space="preserve">Wydatki na remont i bieżące utrzymanie infrastruktury kolejowej. </w:t>
      </w:r>
    </w:p>
    <w:p w14:paraId="517BE100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 xml:space="preserve">Wydatki na zakup środków transportu nieposiadających świadectwa/certyfikatu dopuszczenia określonego typu pojazdu kolejowego do eksploatacji na obszarze Rzeczypospolitej Polskiej </w:t>
      </w:r>
      <w:r w:rsidRPr="00DD0783">
        <w:lastRenderedPageBreak/>
        <w:t>(spełnienia wymogów np. bezpieczeństwa, środowiskowych, technicznych oraz dotyczących przewozu osób niepełnosprawnych), wydanych przez Urząd Transportu Kolejowego.</w:t>
      </w:r>
    </w:p>
    <w:p w14:paraId="1873ABBF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Wydatki na infrastrukturę poza obszarem dworca lub przystanku kolejowego, która nie służy bezpośrednio podróżnym korzystającym z połączeń kolejowych na linii, którą obsługuje dworzec lub przystanek kolejowy.</w:t>
      </w:r>
    </w:p>
    <w:p w14:paraId="289083B2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Wydatki związane z przedsięwzięciami związane z podniesieniem bezpieczeństwa przekraczające 25% wartości wydatków kwalifikowalnych w projekcie.</w:t>
      </w:r>
    </w:p>
    <w:p w14:paraId="4B191E2D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 przypadku projektu kompleksowego, w którym obok infrastruktury liniowej realizowana jest infrastruktura punktowa – wydatki na infrastrukturę punktową przekraczające 15% wartości wydatków kwalifikowalnych w projekcie.</w:t>
      </w:r>
    </w:p>
    <w:p w14:paraId="1DA78E60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6.1 Inwestycje w infrastrukturę społeczną:</w:t>
      </w:r>
    </w:p>
    <w:p w14:paraId="400DAD2D" w14:textId="77777777" w:rsidR="00A23F33" w:rsidRPr="00DD0783" w:rsidRDefault="00A23F33" w:rsidP="00E71C56">
      <w:pPr>
        <w:pStyle w:val="Akapitzlist"/>
        <w:numPr>
          <w:ilvl w:val="0"/>
          <w:numId w:val="11"/>
        </w:numPr>
        <w:spacing w:after="0"/>
        <w:jc w:val="both"/>
        <w:rPr>
          <w:b/>
        </w:rPr>
      </w:pPr>
      <w:r w:rsidRPr="00DD0783">
        <w:t>Wydatki na inwestycje w części związanej z prowadzeniem działalności administracyjnej we wspieranych w projekcie budynkach</w:t>
      </w:r>
      <w:r w:rsidRPr="00DD0783">
        <w:rPr>
          <w:vertAlign w:val="superscript"/>
        </w:rPr>
        <w:footnoteReference w:id="50"/>
      </w:r>
      <w:r w:rsidRPr="00DD0783">
        <w:t>.</w:t>
      </w:r>
    </w:p>
    <w:p w14:paraId="67B968F1" w14:textId="77777777"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>Wydatki na inwestycje w części związanej z prowadzeniem działalności gospodarczej nie związanej celem projektu we wspieranych w projekcie budynkach</w:t>
      </w:r>
      <w:r w:rsidRPr="00DD0783">
        <w:rPr>
          <w:vertAlign w:val="superscript"/>
        </w:rPr>
        <w:footnoteReference w:id="51"/>
      </w:r>
      <w:r w:rsidRPr="00DD0783">
        <w:t xml:space="preserve"> – w 6.1 C, D, E.</w:t>
      </w:r>
    </w:p>
    <w:p w14:paraId="4EFBDE56" w14:textId="77777777"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>Wydatki na termomodernizację przekraczające 49% wartości całkowitych wydatków kwalifikowalnych na pojedynczy budynek w projekcie.</w:t>
      </w:r>
    </w:p>
    <w:p w14:paraId="2F8D5B97" w14:textId="77777777"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 xml:space="preserve">Wydatki na zagospodarowanie otoczenia w zieleń i drobną architekturę przekraczające 15 % wartości wydatków kwalifikowalnych – </w:t>
      </w:r>
      <w:r w:rsidR="00981291" w:rsidRPr="00DD0783">
        <w:t>w</w:t>
      </w:r>
      <w:r w:rsidRPr="00DD0783">
        <w:t xml:space="preserve"> 6.1 A, B, C.</w:t>
      </w:r>
    </w:p>
    <w:p w14:paraId="5CFF7B3B" w14:textId="77777777"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 xml:space="preserve">Wydatki na zagospodarowanie otoczenia w zieleń i drobną architekturę </w:t>
      </w:r>
      <w:r w:rsidR="00E76550" w:rsidRPr="00DD0783">
        <w:t xml:space="preserve">– </w:t>
      </w:r>
      <w:r w:rsidRPr="00DD0783">
        <w:t>w  6.1 D</w:t>
      </w:r>
      <w:r w:rsidR="00FC3DFA" w:rsidRPr="00DD0783">
        <w:t>,</w:t>
      </w:r>
      <w:r w:rsidRPr="00DD0783">
        <w:t xml:space="preserve"> E.</w:t>
      </w:r>
    </w:p>
    <w:p w14:paraId="50277C4C" w14:textId="77777777" w:rsidR="00A70007" w:rsidRPr="00DD0783" w:rsidRDefault="00A70007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>Wydatki na infrastrukturę towarzyszącą (np. drogi, chodniki, parkingi)</w:t>
      </w:r>
      <w:r w:rsidR="00862CCA" w:rsidRPr="00DD0783">
        <w:rPr>
          <w:rStyle w:val="Odwoanieprzypisudolnego"/>
          <w:b/>
        </w:rPr>
        <w:footnoteReference w:id="52"/>
      </w:r>
      <w:r w:rsidRPr="00DD0783">
        <w:t>.</w:t>
      </w:r>
    </w:p>
    <w:p w14:paraId="15D83EBD" w14:textId="77777777" w:rsidR="00A23F33" w:rsidRPr="00DD0783" w:rsidRDefault="00A23F33" w:rsidP="00E71C56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b/>
        </w:rPr>
      </w:pPr>
      <w:r w:rsidRPr="00DD0783">
        <w:t>Wydatki dotyczące infrastruktury przedszkoli</w:t>
      </w:r>
      <w:r w:rsidRPr="00DD0783">
        <w:rPr>
          <w:rStyle w:val="Odwoanieprzypisudolnego"/>
        </w:rPr>
        <w:footnoteReference w:id="53"/>
      </w:r>
      <w:r w:rsidRPr="00DD0783">
        <w:t>.</w:t>
      </w:r>
    </w:p>
    <w:p w14:paraId="23EB84F2" w14:textId="77777777" w:rsidR="006B4515" w:rsidRPr="00DD0783" w:rsidRDefault="006B4515" w:rsidP="003B2988">
      <w:pPr>
        <w:pStyle w:val="Akapitzlist"/>
        <w:spacing w:after="0"/>
        <w:ind w:left="714"/>
        <w:jc w:val="both"/>
        <w:rPr>
          <w:b/>
        </w:rPr>
      </w:pPr>
    </w:p>
    <w:p w14:paraId="1D57F8CE" w14:textId="77777777" w:rsidR="00A23F33" w:rsidRPr="00DD0783" w:rsidRDefault="00FD7775" w:rsidP="001B7507">
      <w:pPr>
        <w:pStyle w:val="Akapitzlist"/>
        <w:spacing w:after="0"/>
        <w:ind w:left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6.2 Inwestycje w infrastrukturę zdrowotną:</w:t>
      </w:r>
    </w:p>
    <w:p w14:paraId="52F0B5DA" w14:textId="77777777" w:rsidR="00A23F33" w:rsidRPr="00DD0783" w:rsidRDefault="00A23F33" w:rsidP="00E71C56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w zakresie ICT (oprogramowanie, sprzęt), przekraczające 49% wartości całkowitych wydatków kwalifikowalnych projektu</w:t>
      </w:r>
      <w:r w:rsidR="009165AA" w:rsidRPr="00DD0783">
        <w:rPr>
          <w:rFonts w:eastAsia="Times New Roman" w:cs="Times New Roman"/>
        </w:rPr>
        <w:t>.</w:t>
      </w:r>
    </w:p>
    <w:p w14:paraId="777D3CD1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dot. ICT (oprogramowanie, sprzęt) w zakresie w jakim związane są z realizacją działań wskazanych w Narzędziu 26 Policy Paper tj. upowszechnienie wymiany elektronicznej dokumentacji medycznej oraz Narzędziu 27 Policy Paper tj. upowszechnienie wykorzystania telemedycyny. </w:t>
      </w:r>
    </w:p>
    <w:p w14:paraId="1A9308DA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 termomodernizacją, przekraczające 49% wartości całkowitych wydatków kwalifikowalnych projektu.</w:t>
      </w:r>
    </w:p>
    <w:p w14:paraId="15C74E77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lastRenderedPageBreak/>
        <w:t>Wydatki na inwestycje polegające na dostosowaniu istniejącej infrastruktury do obowiązujących przepisów – chyba że ich realizacja jest uzasadniona z punktu widzenia poprawy efektywności (w tym kosztowej) i dostępu do świadczeń opieki zdrowotnej.</w:t>
      </w:r>
    </w:p>
    <w:p w14:paraId="1A19F8B5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budowę i modernizację parkingów, dróg dojazdowych i wewnętrznych.</w:t>
      </w:r>
    </w:p>
    <w:p w14:paraId="71670A8C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rPr>
          <w:rFonts w:eastAsia="Times New Roman" w:cs="Times New Roman"/>
        </w:rPr>
        <w:t xml:space="preserve">Wydatki związane z modernizacją i wyposażeniem części administracyjnej niezwiązanej z bezpośrednią obsługą pacjentów, z wyjątkiem projektów dotyczących zakupu i wdrożenia technologii informatyczno-komunikacyjnych. </w:t>
      </w:r>
    </w:p>
    <w:p w14:paraId="190C920D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rPr>
          <w:rFonts w:eastAsia="Times New Roman" w:cs="Times New Roman"/>
        </w:rPr>
        <w:t>Wydatki związane z zakupem sprzętu medycznego, na którym będą świadczone usługi medyczne odpłatne</w:t>
      </w:r>
      <w:r w:rsidRPr="00DD0783">
        <w:t>, generujące przychód w projekcie.</w:t>
      </w:r>
    </w:p>
    <w:p w14:paraId="124BB380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t>Wydatki na zagospodarowanie otoczenia w zieleń i drobną architekturę</w:t>
      </w:r>
      <w:r w:rsidR="00FC3DFA" w:rsidRPr="00DD0783">
        <w:rPr>
          <w:rStyle w:val="Odwoanieprzypisudolnego"/>
        </w:rPr>
        <w:footnoteReference w:id="54"/>
      </w:r>
      <w:r w:rsidRPr="00DD0783">
        <w:t>.</w:t>
      </w:r>
    </w:p>
    <w:p w14:paraId="7D31E081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t xml:space="preserve">Wydatki związane z pracami remontowo-budowlanymi  lub termomodernizacją, które nie są bezpośrednio i w całości związane z infrastrukturą przeznaczoną do udzielania świadczeń zdrowotnych w ramach poszczególnych narzędzi Policy Paper oraz/lub jednostek chorobowych określonych  w ogłoszeniu o naborze </w:t>
      </w:r>
      <w:r w:rsidR="00981291" w:rsidRPr="00DD0783">
        <w:t>–</w:t>
      </w:r>
      <w:r w:rsidRPr="00DD0783">
        <w:t xml:space="preserve"> </w:t>
      </w:r>
      <w:r w:rsidRPr="00DD0783">
        <w:rPr>
          <w:u w:val="single"/>
        </w:rPr>
        <w:t xml:space="preserve">szczegółowe uregulowania </w:t>
      </w:r>
      <w:r w:rsidR="00862CCA" w:rsidRPr="00DD0783">
        <w:rPr>
          <w:u w:val="single"/>
        </w:rPr>
        <w:t>zawarte są</w:t>
      </w:r>
      <w:r w:rsidRPr="00DD0783">
        <w:rPr>
          <w:u w:val="single"/>
        </w:rPr>
        <w:t xml:space="preserve"> w</w:t>
      </w:r>
      <w:r w:rsidR="00981291" w:rsidRPr="00DD0783">
        <w:rPr>
          <w:u w:val="single"/>
        </w:rPr>
        <w:t> </w:t>
      </w:r>
      <w:r w:rsidRPr="00DD0783">
        <w:rPr>
          <w:u w:val="single"/>
        </w:rPr>
        <w:t>regulaminach konkursów</w:t>
      </w:r>
      <w:r w:rsidR="00FC3DFA" w:rsidRPr="00DD0783">
        <w:rPr>
          <w:rStyle w:val="Odwoanieprzypisudolnego"/>
          <w:u w:val="single"/>
        </w:rPr>
        <w:footnoteReference w:id="55"/>
      </w:r>
      <w:r w:rsidRPr="00DD0783">
        <w:t>.</w:t>
      </w:r>
    </w:p>
    <w:p w14:paraId="7D7EBF1A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t xml:space="preserve">Wydatki związane z zakupem oprogramowania i sprzętu IT, który to sprzęt nie jest bezpośrednio i w całości związany z zakresem wsparcia w ramach poszczególnych narzędzi Policy Paper oraz/lub jednostek chorobowych określonych  w ogłoszeniu o naborze </w:t>
      </w:r>
      <w:r w:rsidR="00981291" w:rsidRPr="00DD0783">
        <w:t xml:space="preserve">– </w:t>
      </w:r>
      <w:r w:rsidRPr="00DD0783">
        <w:rPr>
          <w:u w:val="single"/>
        </w:rPr>
        <w:t xml:space="preserve"> szczegółowe uregulowania </w:t>
      </w:r>
      <w:r w:rsidR="00862CCA" w:rsidRPr="00DD0783">
        <w:rPr>
          <w:u w:val="single"/>
        </w:rPr>
        <w:t>zawarte są</w:t>
      </w:r>
      <w:r w:rsidRPr="00DD0783">
        <w:rPr>
          <w:u w:val="single"/>
        </w:rPr>
        <w:t xml:space="preserve"> w regulaminach konkursów</w:t>
      </w:r>
      <w:r w:rsidR="00FC3DFA" w:rsidRPr="00DD0783">
        <w:rPr>
          <w:rStyle w:val="Odwoanieprzypisudolnego"/>
          <w:u w:val="single"/>
        </w:rPr>
        <w:footnoteReference w:id="56"/>
      </w:r>
      <w:r w:rsidRPr="00DD0783">
        <w:t>.</w:t>
      </w:r>
    </w:p>
    <w:p w14:paraId="02764D99" w14:textId="77777777" w:rsidR="006B4515" w:rsidRPr="00DD0783" w:rsidRDefault="006B4515" w:rsidP="003B2988">
      <w:pPr>
        <w:pStyle w:val="Akapitzlist"/>
        <w:jc w:val="both"/>
      </w:pPr>
    </w:p>
    <w:p w14:paraId="0F8B9185" w14:textId="77777777" w:rsidR="00A23F33" w:rsidRPr="00DD0783" w:rsidRDefault="00FD7775" w:rsidP="003B2988">
      <w:pPr>
        <w:pStyle w:val="Akapitzlist"/>
        <w:ind w:left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6.3 Rewitalizacja zdegradowanych obszarów:</w:t>
      </w:r>
    </w:p>
    <w:p w14:paraId="785A51DD" w14:textId="77777777" w:rsidR="00A23F33" w:rsidRPr="00DD0783" w:rsidRDefault="00A23F33" w:rsidP="00E71C56">
      <w:pPr>
        <w:pStyle w:val="Akapitzlist"/>
        <w:numPr>
          <w:ilvl w:val="0"/>
          <w:numId w:val="12"/>
        </w:numPr>
        <w:jc w:val="both"/>
        <w:rPr>
          <w:b/>
        </w:rPr>
      </w:pPr>
      <w:r w:rsidRPr="00DD0783">
        <w:t>Wydatki na remont, odnowę części usługowej, produkcyjnej itp., związanej z prowadzeniem działalności gospodarczej we wspieranych w projekcie budynkach mieszkalnych (schemat 6.3</w:t>
      </w:r>
      <w:r w:rsidR="00981291" w:rsidRPr="00DD0783">
        <w:t xml:space="preserve"> </w:t>
      </w:r>
      <w:r w:rsidRPr="00DD0783">
        <w:t>B)</w:t>
      </w:r>
      <w:r w:rsidRPr="00DD0783">
        <w:rPr>
          <w:vertAlign w:val="superscript"/>
        </w:rPr>
        <w:footnoteReference w:id="57"/>
      </w:r>
      <w:r w:rsidRPr="00DD0783">
        <w:t>.</w:t>
      </w:r>
    </w:p>
    <w:p w14:paraId="3C03851E" w14:textId="77777777" w:rsidR="00042236" w:rsidRPr="00DD0783" w:rsidRDefault="00FC3DFA" w:rsidP="00E71C56">
      <w:pPr>
        <w:pStyle w:val="Akapitzlist"/>
        <w:numPr>
          <w:ilvl w:val="0"/>
          <w:numId w:val="12"/>
        </w:numPr>
        <w:jc w:val="both"/>
      </w:pPr>
      <w:bookmarkStart w:id="17" w:name="_Hlk493154474"/>
      <w:r w:rsidRPr="00DD0783">
        <w:t>Wydatki na remont, odnowę części związanej z prowadzeniem działalności administracyjnej we wspieranych w projekcie budynkach</w:t>
      </w:r>
      <w:r w:rsidRPr="00DD0783">
        <w:rPr>
          <w:rStyle w:val="Odwoanieprzypisudolnego"/>
        </w:rPr>
        <w:footnoteReference w:id="58"/>
      </w:r>
      <w:r w:rsidR="003C461F" w:rsidRPr="00DD0783">
        <w:t xml:space="preserve"> </w:t>
      </w:r>
      <w:bookmarkEnd w:id="17"/>
      <w:r w:rsidR="00B27986">
        <w:t xml:space="preserve"> </w:t>
      </w:r>
      <w:r w:rsidRPr="00DD0783">
        <w:rPr>
          <w:vertAlign w:val="superscript"/>
        </w:rPr>
        <w:footnoteReference w:id="59"/>
      </w:r>
      <w:r w:rsidRPr="00DD0783">
        <w:t>.</w:t>
      </w:r>
      <w:bookmarkStart w:id="18" w:name="_Hlk493154503"/>
    </w:p>
    <w:p w14:paraId="6E16B739" w14:textId="77777777" w:rsidR="00835141" w:rsidRPr="00DD0783" w:rsidRDefault="00835141" w:rsidP="00E71C56">
      <w:pPr>
        <w:pStyle w:val="Akapitzlist"/>
        <w:numPr>
          <w:ilvl w:val="0"/>
          <w:numId w:val="12"/>
        </w:numPr>
        <w:jc w:val="both"/>
      </w:pPr>
      <w:r w:rsidRPr="00DD0783">
        <w:lastRenderedPageBreak/>
        <w:t>Wydatki na części związane z prowadzeniem działalności administracyjnej we wspieranych w projekcie budynkach</w:t>
      </w:r>
      <w:r w:rsidR="00F2036F" w:rsidRPr="00DD0783">
        <w:t>/obiektach (schemat 6.3 A</w:t>
      </w:r>
      <w:r w:rsidR="00F2036F" w:rsidRPr="00DD0783">
        <w:rPr>
          <w:rStyle w:val="Odwoanieprzypisudolnego"/>
        </w:rPr>
        <w:footnoteReference w:id="60"/>
      </w:r>
      <w:r w:rsidR="005B69D1" w:rsidRPr="00DD0783">
        <w:t xml:space="preserve"> oraz schemat 6.3</w:t>
      </w:r>
      <w:r w:rsidR="00F2036F" w:rsidRPr="00DD0783">
        <w:t> </w:t>
      </w:r>
      <w:r w:rsidR="005B69D1" w:rsidRPr="00DD0783">
        <w:t>B</w:t>
      </w:r>
      <w:r w:rsidR="00F2036F" w:rsidRPr="00DD0783">
        <w:rPr>
          <w:rStyle w:val="Odwoanieprzypisudolnego"/>
        </w:rPr>
        <w:footnoteReference w:id="61"/>
      </w:r>
      <w:r w:rsidRPr="00DD0783">
        <w:t xml:space="preserve">) </w:t>
      </w:r>
      <w:bookmarkEnd w:id="18"/>
      <w:r w:rsidRPr="00DD0783">
        <w:rPr>
          <w:rStyle w:val="Odwoanieprzypisudolnego"/>
        </w:rPr>
        <w:footnoteReference w:id="62"/>
      </w:r>
      <w:r w:rsidRPr="00DD0783">
        <w:t>.</w:t>
      </w:r>
    </w:p>
    <w:p w14:paraId="787FF20D" w14:textId="77777777" w:rsidR="00A23F33" w:rsidRPr="00DD0783" w:rsidRDefault="00042236" w:rsidP="00E71C56">
      <w:pPr>
        <w:pStyle w:val="Akapitzlist"/>
        <w:numPr>
          <w:ilvl w:val="0"/>
          <w:numId w:val="12"/>
        </w:numPr>
        <w:jc w:val="both"/>
        <w:rPr>
          <w:b/>
        </w:rPr>
      </w:pPr>
      <w:r w:rsidRPr="00DD0783">
        <w:t>w</w:t>
      </w:r>
      <w:r w:rsidR="00A23F33" w:rsidRPr="00DD0783">
        <w:t>ydatki na uzbrojenie terenów inwestycyjnych</w:t>
      </w:r>
      <w:r w:rsidR="00A23F33" w:rsidRPr="00DD0783">
        <w:rPr>
          <w:rStyle w:val="Odwoanieprzypisudolnego"/>
        </w:rPr>
        <w:footnoteReference w:id="63"/>
      </w:r>
      <w:r w:rsidR="00981291" w:rsidRPr="00DD0783">
        <w:t>.</w:t>
      </w:r>
    </w:p>
    <w:p w14:paraId="5F75CFBC" w14:textId="77777777" w:rsidR="00A23F33" w:rsidRPr="00DD0783" w:rsidRDefault="00A23F33" w:rsidP="00E71C56">
      <w:pPr>
        <w:pStyle w:val="Akapitzlist"/>
        <w:numPr>
          <w:ilvl w:val="0"/>
          <w:numId w:val="12"/>
        </w:numPr>
        <w:jc w:val="both"/>
        <w:rPr>
          <w:b/>
        </w:rPr>
      </w:pPr>
      <w:r w:rsidRPr="00DD0783">
        <w:t>Wydatki na termomodernizację przekraczające 49% wartości całkowitych wydatków kwalifikowalnych na pojedynczy budynek w projekcie.</w:t>
      </w:r>
    </w:p>
    <w:p w14:paraId="45AF589B" w14:textId="77777777" w:rsidR="00A23F33" w:rsidRPr="00DD0783" w:rsidRDefault="00FD7775" w:rsidP="001B7507">
      <w:pPr>
        <w:spacing w:after="0"/>
        <w:jc w:val="both"/>
        <w:rPr>
          <w:rFonts w:eastAsiaTheme="majorEastAsia" w:cstheme="majorBidi"/>
          <w:b/>
          <w:bCs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7.1</w:t>
      </w:r>
      <w:r w:rsidR="00A23F33" w:rsidRPr="00DD0783">
        <w:rPr>
          <w:rFonts w:eastAsiaTheme="majorEastAsia" w:cstheme="majorBidi"/>
          <w:b/>
          <w:bCs/>
        </w:rPr>
        <w:t xml:space="preserve"> Inwestycje w edukację przedszkolną, podstawową i gimnazjalną:</w:t>
      </w:r>
    </w:p>
    <w:p w14:paraId="72E70F11" w14:textId="77777777" w:rsidR="00A23F33" w:rsidRPr="00DD0783" w:rsidRDefault="00A23F33" w:rsidP="00E71C56">
      <w:pPr>
        <w:pStyle w:val="Akapitzlist"/>
        <w:numPr>
          <w:ilvl w:val="0"/>
          <w:numId w:val="5"/>
        </w:numPr>
        <w:spacing w:after="0"/>
        <w:jc w:val="both"/>
        <w:rPr>
          <w:rFonts w:eastAsiaTheme="majorEastAsia" w:cstheme="majorBidi"/>
          <w:b/>
          <w:bCs/>
        </w:rPr>
      </w:pPr>
      <w:r w:rsidRPr="00DD0783">
        <w:rPr>
          <w:rFonts w:eastAsia="Times New Roman" w:cs="Times New Roman"/>
        </w:rPr>
        <w:t xml:space="preserve">Wydatki związane z termomodernizacją przekraczające 49% wartości całkowitych wydatków kwalifikowalnych </w:t>
      </w:r>
      <w:r w:rsidRPr="00DD0783">
        <w:t>na pojedynczy budynek w</w:t>
      </w:r>
      <w:r w:rsidRPr="00DD0783">
        <w:rPr>
          <w:rFonts w:eastAsia="Times New Roman" w:cs="Times New Roman"/>
        </w:rPr>
        <w:t xml:space="preserve"> projekcie.</w:t>
      </w:r>
    </w:p>
    <w:p w14:paraId="2539FA6F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 zakupem placów zabaw przekraczające 49% wartości całkowitych wydatków kwalifikowalnych projektu.</w:t>
      </w:r>
    </w:p>
    <w:p w14:paraId="3C494685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dotyczące infrastruktury żłobków</w:t>
      </w:r>
      <w:r w:rsidRPr="00DD0783">
        <w:rPr>
          <w:rStyle w:val="Odwoanieprzypisudolnego"/>
          <w:rFonts w:eastAsia="Times New Roman" w:cs="Times New Roman"/>
        </w:rPr>
        <w:footnoteReference w:id="64"/>
      </w:r>
      <w:r w:rsidRPr="00DD0783">
        <w:rPr>
          <w:rFonts w:eastAsia="Times New Roman" w:cs="Times New Roman"/>
        </w:rPr>
        <w:t>.</w:t>
      </w:r>
    </w:p>
    <w:p w14:paraId="6223401E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Koszty zagospodarowania terenu</w:t>
      </w:r>
      <w:r w:rsidRPr="00DD0783">
        <w:rPr>
          <w:rStyle w:val="Odwoanieprzypisudolnego"/>
          <w:rFonts w:eastAsia="Times New Roman" w:cs="Times New Roman"/>
        </w:rPr>
        <w:footnoteReference w:id="65"/>
      </w:r>
      <w:r w:rsidRPr="00DD0783">
        <w:rPr>
          <w:rFonts w:eastAsia="Times New Roman" w:cs="Times New Roman"/>
        </w:rPr>
        <w:t xml:space="preserve"> wokół przedszkoli, szkół i placówek oraz budowy dróg dojazdowych, wewnętrznych i parkingów.</w:t>
      </w:r>
    </w:p>
    <w:p w14:paraId="7D5FBD00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przedszkolną w przypadku naborów skierowanych do szkół</w:t>
      </w:r>
      <w:r w:rsidRPr="00DD0783">
        <w:rPr>
          <w:rStyle w:val="Odwoanieprzypisudolnego"/>
          <w:rFonts w:eastAsia="Times New Roman" w:cs="Times New Roman"/>
        </w:rPr>
        <w:footnoteReference w:id="66"/>
      </w:r>
      <w:r w:rsidRPr="00DD0783">
        <w:rPr>
          <w:rFonts w:eastAsia="Times New Roman" w:cs="Times New Roman"/>
        </w:rPr>
        <w:t>.</w:t>
      </w:r>
    </w:p>
    <w:p w14:paraId="5CE29DBD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szkolną w przypadku naborów skierowanych do przedszkoli</w:t>
      </w:r>
      <w:r w:rsidRPr="00DD0783">
        <w:rPr>
          <w:rStyle w:val="Odwoanieprzypisudolnego"/>
          <w:rFonts w:eastAsia="Times New Roman" w:cs="Times New Roman"/>
        </w:rPr>
        <w:footnoteReference w:id="67"/>
      </w:r>
      <w:r w:rsidRPr="00DD0783">
        <w:rPr>
          <w:rFonts w:eastAsia="Times New Roman" w:cs="Times New Roman"/>
        </w:rPr>
        <w:t>.</w:t>
      </w:r>
    </w:p>
    <w:p w14:paraId="7CCA357F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szkół ponadgimnazjalnych</w:t>
      </w:r>
      <w:r w:rsidRPr="00DD0783">
        <w:rPr>
          <w:rFonts w:eastAsia="Times New Roman" w:cs="Times New Roman"/>
          <w:vertAlign w:val="superscript"/>
        </w:rPr>
        <w:footnoteReference w:id="68"/>
      </w:r>
      <w:r w:rsidRPr="00DD0783">
        <w:rPr>
          <w:rFonts w:eastAsia="Times New Roman" w:cs="Times New Roman"/>
        </w:rPr>
        <w:t>.</w:t>
      </w:r>
    </w:p>
    <w:p w14:paraId="7473412B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zakup używanych środków trwałych.</w:t>
      </w:r>
    </w:p>
    <w:p w14:paraId="04980E87" w14:textId="77777777" w:rsidR="00FA6BCC" w:rsidRPr="00DD0783" w:rsidRDefault="00FA6BCC" w:rsidP="00E71C56">
      <w:pPr>
        <w:pStyle w:val="Akapitzlist"/>
        <w:numPr>
          <w:ilvl w:val="0"/>
          <w:numId w:val="5"/>
        </w:numPr>
        <w:rPr>
          <w:rFonts w:eastAsia="Times New Roman" w:cs="Times New Roman"/>
        </w:rPr>
      </w:pPr>
      <w:r w:rsidRPr="00DD0783">
        <w:rPr>
          <w:rFonts w:eastAsia="Times New Roman" w:cs="Times New Roman"/>
        </w:rPr>
        <w:lastRenderedPageBreak/>
        <w:t>Wydatki związane z wyposażeniem części administracyjnej</w:t>
      </w:r>
      <w:r w:rsidR="00862CCA" w:rsidRPr="00DD0783">
        <w:rPr>
          <w:rStyle w:val="Odwoanieprzypisudolnego"/>
          <w:rFonts w:eastAsia="Times New Roman" w:cs="Times New Roman"/>
          <w:b/>
        </w:rPr>
        <w:footnoteReference w:id="69"/>
      </w:r>
      <w:r w:rsidRPr="00DD0783">
        <w:rPr>
          <w:rFonts w:eastAsia="Times New Roman" w:cs="Times New Roman"/>
        </w:rPr>
        <w:t>.</w:t>
      </w:r>
    </w:p>
    <w:p w14:paraId="587206EA" w14:textId="77777777" w:rsidR="00A23F33" w:rsidRPr="00DD0783" w:rsidRDefault="00FD7775" w:rsidP="001B7507">
      <w:pPr>
        <w:spacing w:after="0"/>
        <w:jc w:val="both"/>
        <w:rPr>
          <w:rFonts w:eastAsiaTheme="majorEastAsia" w:cstheme="majorBidi"/>
          <w:b/>
          <w:bCs/>
        </w:rPr>
      </w:pPr>
      <w:bookmarkStart w:id="19" w:name="_Hlk21428226"/>
      <w:r w:rsidRPr="00DD0783">
        <w:rPr>
          <w:b/>
        </w:rPr>
        <w:t xml:space="preserve">Działanie </w:t>
      </w:r>
      <w:r w:rsidR="00A23F33" w:rsidRPr="00DD0783">
        <w:rPr>
          <w:b/>
        </w:rPr>
        <w:t>7.2</w:t>
      </w:r>
      <w:r w:rsidR="00A23F33" w:rsidRPr="00DD0783">
        <w:rPr>
          <w:rFonts w:eastAsiaTheme="majorEastAsia" w:cstheme="majorBidi"/>
          <w:b/>
          <w:bCs/>
        </w:rPr>
        <w:t xml:space="preserve"> Inwestycje w edukację ponadgimnazjalną, w tym zawodową</w:t>
      </w:r>
      <w:bookmarkEnd w:id="19"/>
      <w:r w:rsidR="00A23F33" w:rsidRPr="00DD0783">
        <w:rPr>
          <w:rFonts w:eastAsiaTheme="majorEastAsia" w:cstheme="majorBidi"/>
          <w:b/>
          <w:bCs/>
        </w:rPr>
        <w:t>:</w:t>
      </w:r>
    </w:p>
    <w:p w14:paraId="29802FDA" w14:textId="77777777" w:rsidR="00A23F33" w:rsidRPr="00DD0783" w:rsidRDefault="00A23F33" w:rsidP="00E71C56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 termomodernizacją przekraczające 49% wartości całkowitych wydatków kwalifikowalnych projektu.</w:t>
      </w:r>
    </w:p>
    <w:p w14:paraId="35B886CD" w14:textId="77777777" w:rsidR="00A23F33" w:rsidRPr="00DD078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na infrastrukturę oraz zakup wyposażenia wykorzystywanego na potrzeby kształcenia ustawicznego.</w:t>
      </w:r>
    </w:p>
    <w:p w14:paraId="031840B1" w14:textId="77777777" w:rsidR="00A23F33" w:rsidRPr="00DD0783" w:rsidRDefault="00A23F33" w:rsidP="00E71C56">
      <w:pPr>
        <w:pStyle w:val="Akapitzlist"/>
        <w:numPr>
          <w:ilvl w:val="0"/>
          <w:numId w:val="4"/>
        </w:numPr>
        <w:spacing w:line="240" w:lineRule="auto"/>
        <w:jc w:val="both"/>
      </w:pPr>
      <w:r w:rsidRPr="00DD0783">
        <w:rPr>
          <w:rFonts w:eastAsia="Times New Roman" w:cs="Times New Roman"/>
        </w:rPr>
        <w:t xml:space="preserve">Wydatki na infrastrukturę szkolnictwa ponadgimnazjalnego zawodowego </w:t>
      </w:r>
      <w:r w:rsidRPr="00DD0783">
        <w:rPr>
          <w:rFonts w:eastAsia="Times New Roman" w:cs="Times New Roman"/>
        </w:rPr>
        <w:br/>
        <w:t>w przypadku naborów skierowanych do szkolnictwa ponadgimnazjalnego ogólnego</w:t>
      </w:r>
      <w:r w:rsidRPr="00DD0783">
        <w:rPr>
          <w:rStyle w:val="Odwoanieprzypisudolnego"/>
        </w:rPr>
        <w:footnoteReference w:id="70"/>
      </w:r>
      <w:r w:rsidR="00B27986">
        <w:rPr>
          <w:rFonts w:eastAsia="Times New Roman" w:cs="Times New Roman"/>
        </w:rPr>
        <w:t xml:space="preserve">  </w:t>
      </w:r>
      <w:r w:rsidR="00134C78">
        <w:rPr>
          <w:rStyle w:val="Odwoanieprzypisudolnego"/>
          <w:rFonts w:eastAsia="Times New Roman" w:cs="Times New Roman"/>
        </w:rPr>
        <w:footnoteReference w:id="71"/>
      </w:r>
      <w:r w:rsidRPr="00DD0783">
        <w:t>.</w:t>
      </w:r>
    </w:p>
    <w:p w14:paraId="54766E16" w14:textId="6D786FDB" w:rsidR="00A23F3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bookmarkStart w:id="20" w:name="_Hlk21416073"/>
      <w:r w:rsidRPr="00DD0783">
        <w:rPr>
          <w:rFonts w:eastAsia="Times New Roman" w:cs="Times New Roman"/>
        </w:rPr>
        <w:t>Wydatki na infrastrukturę szkolnictwa ponadgimnazjalnego ogólnego w przypadku naborów skierowanych do szkolnictw</w:t>
      </w:r>
      <w:r w:rsidR="004739A6">
        <w:rPr>
          <w:rFonts w:eastAsia="Times New Roman" w:cs="Times New Roman"/>
        </w:rPr>
        <w:t>a</w:t>
      </w:r>
      <w:r w:rsidRPr="00DD0783">
        <w:rPr>
          <w:rFonts w:eastAsia="Times New Roman" w:cs="Times New Roman"/>
        </w:rPr>
        <w:t xml:space="preserve"> ponadgimnazjalnego zawodowego</w:t>
      </w:r>
      <w:r w:rsidRPr="00DD0783">
        <w:rPr>
          <w:rFonts w:eastAsia="Times New Roman" w:cs="Times New Roman"/>
          <w:vertAlign w:val="superscript"/>
        </w:rPr>
        <w:footnoteReference w:id="72"/>
      </w:r>
      <w:r w:rsidR="00B27986">
        <w:rPr>
          <w:rFonts w:eastAsia="Times New Roman" w:cs="Times New Roman"/>
        </w:rPr>
        <w:t xml:space="preserve"> </w:t>
      </w:r>
      <w:r w:rsidR="00995C0A">
        <w:rPr>
          <w:rStyle w:val="Odwoanieprzypisudolnego"/>
          <w:rFonts w:eastAsia="Times New Roman" w:cs="Times New Roman"/>
        </w:rPr>
        <w:footnoteReference w:id="73"/>
      </w:r>
      <w:r w:rsidRPr="00DD0783">
        <w:rPr>
          <w:rFonts w:eastAsia="Times New Roman" w:cs="Times New Roman"/>
        </w:rPr>
        <w:t>.</w:t>
      </w:r>
    </w:p>
    <w:p w14:paraId="69BC3546" w14:textId="160306C3" w:rsidR="009828BB" w:rsidRPr="00DD0783" w:rsidRDefault="009828BB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bookmarkStart w:id="21" w:name="_Hlk21428619"/>
      <w:bookmarkEnd w:id="20"/>
      <w:r w:rsidRPr="00DD0783">
        <w:rPr>
          <w:rFonts w:eastAsia="Times New Roman" w:cs="Times New Roman"/>
        </w:rPr>
        <w:t xml:space="preserve">Wydatki na infrastrukturę </w:t>
      </w:r>
      <w:r>
        <w:rPr>
          <w:rFonts w:eastAsia="Times New Roman" w:cs="Times New Roman"/>
        </w:rPr>
        <w:t>szkół podstawowych</w:t>
      </w:r>
      <w:bookmarkEnd w:id="21"/>
      <w:r>
        <w:rPr>
          <w:rStyle w:val="Odwoanieprzypisudolnego"/>
          <w:rFonts w:eastAsia="Times New Roman" w:cs="Times New Roman"/>
        </w:rPr>
        <w:footnoteReference w:id="74"/>
      </w:r>
      <w:r>
        <w:rPr>
          <w:rFonts w:eastAsia="Times New Roman" w:cs="Times New Roman"/>
        </w:rPr>
        <w:t>.</w:t>
      </w:r>
    </w:p>
    <w:p w14:paraId="5E6A2D24" w14:textId="77777777" w:rsidR="00A23F33" w:rsidRPr="00DD078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na budowę nowych obiektów nie służących praktycznej nauce zawodu oraz rozbudowę obiektów nie służących praktycznej nauce zawodu o budynki trwale nie połączone z istniejącym już obiektem.</w:t>
      </w:r>
    </w:p>
    <w:p w14:paraId="2A52A52E" w14:textId="77777777" w:rsidR="00A23F33" w:rsidRPr="00DD078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Koszty zagospodarowania terenu wokół szkół i placówek oraz budowa dróg dojazdowych, wewnętrznych i parkingów.</w:t>
      </w:r>
    </w:p>
    <w:p w14:paraId="3F97AD27" w14:textId="77777777" w:rsidR="00243F87" w:rsidRPr="00DD0783" w:rsidRDefault="00243F87" w:rsidP="00E71C56">
      <w:pPr>
        <w:pStyle w:val="Akapitzlist"/>
        <w:numPr>
          <w:ilvl w:val="0"/>
          <w:numId w:val="4"/>
        </w:numPr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 wyposażeniem części administracyjnej</w:t>
      </w:r>
      <w:r w:rsidR="00862CCA" w:rsidRPr="00DD0783">
        <w:rPr>
          <w:rStyle w:val="Odwoanieprzypisudolnego"/>
          <w:rFonts w:eastAsia="Times New Roman" w:cs="Times New Roman"/>
          <w:b/>
        </w:rPr>
        <w:footnoteReference w:id="75"/>
      </w:r>
      <w:r w:rsidRPr="00DD0783">
        <w:rPr>
          <w:rFonts w:eastAsia="Times New Roman" w:cs="Times New Roman"/>
        </w:rPr>
        <w:t>.</w:t>
      </w:r>
    </w:p>
    <w:p w14:paraId="38DA8A09" w14:textId="77777777" w:rsidR="00EA19D0" w:rsidRPr="00025329" w:rsidRDefault="00A23F33" w:rsidP="00E71C56">
      <w:pPr>
        <w:pStyle w:val="Akapitzlist"/>
        <w:numPr>
          <w:ilvl w:val="0"/>
          <w:numId w:val="4"/>
        </w:numPr>
        <w:tabs>
          <w:tab w:val="left" w:pos="5330"/>
        </w:tabs>
        <w:spacing w:line="240" w:lineRule="auto"/>
        <w:jc w:val="both"/>
        <w:rPr>
          <w:b/>
        </w:rPr>
      </w:pPr>
      <w:r w:rsidRPr="00BF25CB">
        <w:rPr>
          <w:rFonts w:eastAsia="Times New Roman" w:cs="Times New Roman"/>
        </w:rPr>
        <w:t>Wydatki na zakup używanych środków trwałych.</w:t>
      </w:r>
    </w:p>
    <w:p w14:paraId="32EE3F15" w14:textId="77777777" w:rsidR="00025329" w:rsidRDefault="00025329" w:rsidP="00025329">
      <w:pPr>
        <w:pStyle w:val="Akapitzlist"/>
        <w:tabs>
          <w:tab w:val="left" w:pos="5330"/>
        </w:tabs>
        <w:spacing w:line="240" w:lineRule="auto"/>
        <w:jc w:val="both"/>
        <w:rPr>
          <w:rFonts w:eastAsia="Times New Roman" w:cs="Times New Roman"/>
        </w:rPr>
      </w:pPr>
    </w:p>
    <w:p w14:paraId="78F6CADD" w14:textId="77777777" w:rsidR="00025329" w:rsidRPr="00025329" w:rsidRDefault="00025329" w:rsidP="00F67081">
      <w:pPr>
        <w:pStyle w:val="Akapitzlist"/>
        <w:tabs>
          <w:tab w:val="left" w:pos="5330"/>
        </w:tabs>
        <w:spacing w:line="240" w:lineRule="auto"/>
        <w:jc w:val="both"/>
        <w:rPr>
          <w:b/>
        </w:rPr>
      </w:pPr>
    </w:p>
    <w:p w14:paraId="2ED17001" w14:textId="77777777" w:rsidR="00526548" w:rsidRDefault="00526548" w:rsidP="00F67081">
      <w:pPr>
        <w:pBdr>
          <w:top w:val="single" w:sz="4" w:space="1" w:color="auto"/>
        </w:pBdr>
        <w:tabs>
          <w:tab w:val="left" w:pos="5330"/>
        </w:tabs>
        <w:spacing w:after="0" w:line="240" w:lineRule="auto"/>
        <w:jc w:val="center"/>
        <w:rPr>
          <w:b/>
        </w:rPr>
      </w:pPr>
    </w:p>
    <w:p w14:paraId="33C2A99C" w14:textId="77777777" w:rsidR="00526548" w:rsidRPr="00A82785" w:rsidRDefault="00526548" w:rsidP="00F67081">
      <w:pPr>
        <w:pBdr>
          <w:top w:val="single" w:sz="4" w:space="1" w:color="auto"/>
        </w:pBdr>
        <w:tabs>
          <w:tab w:val="left" w:pos="5330"/>
        </w:tabs>
        <w:spacing w:line="240" w:lineRule="auto"/>
        <w:jc w:val="center"/>
        <w:rPr>
          <w:b/>
        </w:rPr>
      </w:pPr>
      <w:r w:rsidRPr="00714551">
        <w:rPr>
          <w:b/>
        </w:rPr>
        <w:t xml:space="preserve">4. </w:t>
      </w:r>
      <w:r w:rsidRPr="00A82785">
        <w:rPr>
          <w:b/>
        </w:rPr>
        <w:t>UPROSZCZONE METODY ROZLICZANIA WYDATKÓW</w:t>
      </w:r>
    </w:p>
    <w:p w14:paraId="4DF197F1" w14:textId="7C6A3991" w:rsidR="00526548" w:rsidRDefault="00526548" w:rsidP="00526548">
      <w:pPr>
        <w:tabs>
          <w:tab w:val="left" w:pos="5330"/>
        </w:tabs>
        <w:spacing w:line="240" w:lineRule="auto"/>
        <w:jc w:val="both"/>
      </w:pPr>
      <w:r>
        <w:t xml:space="preserve">Dla określonych </w:t>
      </w:r>
      <w:r w:rsidRPr="006D17CB">
        <w:t xml:space="preserve">konkursów </w:t>
      </w:r>
      <w:r>
        <w:t xml:space="preserve">w ramach RPO WD 2014-2020 istnieje </w:t>
      </w:r>
      <w:r w:rsidRPr="006D17CB">
        <w:t xml:space="preserve">możliwość rozliczania wybranych kategorii kosztów pośrednich za pomocą </w:t>
      </w:r>
      <w:r w:rsidRPr="006D17CB">
        <w:rPr>
          <w:b/>
        </w:rPr>
        <w:t>stawki ryczałtowej</w:t>
      </w:r>
      <w:r w:rsidRPr="006D17CB">
        <w:t xml:space="preserve"> (uwzględniając zapisy z art. 68 </w:t>
      </w:r>
      <w:r w:rsidRPr="006D17CB">
        <w:lastRenderedPageBreak/>
        <w:t>Rozporządzenia Parlamentu Europejskiego i Rady (UE) Nr 1303</w:t>
      </w:r>
      <w:r w:rsidRPr="00843D11">
        <w:t>/2013</w:t>
      </w:r>
      <w:r w:rsidR="000C763D" w:rsidRPr="00843D11">
        <w:t xml:space="preserve">, zgodnie z dokumentem IZ RPO WD pn. </w:t>
      </w:r>
      <w:r w:rsidR="000C763D" w:rsidRPr="00F67081">
        <w:rPr>
          <w:i/>
        </w:rPr>
        <w:t>„Uproszczone metody rozliczania wydatków</w:t>
      </w:r>
      <w:r w:rsidR="00941D72" w:rsidRPr="00843D11">
        <w:rPr>
          <w:i/>
        </w:rPr>
        <w:t xml:space="preserve"> dla EFRR w ramach RPO WD 2014-2020</w:t>
      </w:r>
      <w:r w:rsidR="000C763D" w:rsidRPr="00F67081">
        <w:rPr>
          <w:i/>
        </w:rPr>
        <w:t>”</w:t>
      </w:r>
      <w:r w:rsidRPr="00843D11">
        <w:t>).</w:t>
      </w:r>
      <w:r>
        <w:t xml:space="preserve"> </w:t>
      </w:r>
    </w:p>
    <w:p w14:paraId="485EE353" w14:textId="77777777" w:rsidR="00526548" w:rsidRDefault="00526548" w:rsidP="00526548">
      <w:pPr>
        <w:tabs>
          <w:tab w:val="left" w:pos="5330"/>
        </w:tabs>
        <w:spacing w:line="240" w:lineRule="auto"/>
        <w:jc w:val="both"/>
        <w:rPr>
          <w:b/>
        </w:rPr>
      </w:pPr>
      <w:r w:rsidRPr="00325767">
        <w:rPr>
          <w:b/>
        </w:rPr>
        <w:t xml:space="preserve">Dopuszczalność oraz warunki zastosowania uproszczonych metod rozliczania wydatków </w:t>
      </w:r>
      <w:r>
        <w:rPr>
          <w:b/>
        </w:rPr>
        <w:t>określa</w:t>
      </w:r>
      <w:r w:rsidRPr="00325767">
        <w:rPr>
          <w:b/>
        </w:rPr>
        <w:t xml:space="preserve"> </w:t>
      </w:r>
      <w:r>
        <w:rPr>
          <w:b/>
        </w:rPr>
        <w:t xml:space="preserve">każdorazowo </w:t>
      </w:r>
      <w:r w:rsidRPr="00325767">
        <w:rPr>
          <w:b/>
        </w:rPr>
        <w:t>regulamin konkursu</w:t>
      </w:r>
      <w:r>
        <w:rPr>
          <w:b/>
        </w:rPr>
        <w:t xml:space="preserve"> lub odpowiednio zasady ubiegania się o wsparcie w trybie pozakonkursowym</w:t>
      </w:r>
      <w:r w:rsidRPr="00AF3312">
        <w:rPr>
          <w:b/>
        </w:rPr>
        <w:t>.</w:t>
      </w:r>
    </w:p>
    <w:p w14:paraId="7B43BAC5" w14:textId="0D6756AC" w:rsidR="00526548" w:rsidRPr="003B200E" w:rsidRDefault="00526548" w:rsidP="00526548">
      <w:pPr>
        <w:tabs>
          <w:tab w:val="left" w:pos="5330"/>
        </w:tabs>
        <w:spacing w:line="240" w:lineRule="auto"/>
        <w:jc w:val="both"/>
        <w:rPr>
          <w:b/>
          <w:u w:val="single"/>
        </w:rPr>
      </w:pPr>
      <w:r w:rsidRPr="00AF3312">
        <w:rPr>
          <w:b/>
        </w:rPr>
        <w:t>Jeże</w:t>
      </w:r>
      <w:r w:rsidRPr="003B200E">
        <w:rPr>
          <w:b/>
        </w:rPr>
        <w:t>li w ramach naboru przewiduje się zastosowanie stawki ryczałtowej dla wybranych kategorii kosztów, to są one kwalifikowalne wyłącznie w ramach tej stawki. Oznacza to, że nie ma możliwości rozliczania tych kosztów zgodnie z zasadą faktycznego poniesienia wydatku – na podstawie przedstawianych dokumentów księgowych (wraz z odpowiednim dokumentem potwierdzającym dokonanie płatności (o ile dotyczy)). Regulamin konkursu</w:t>
      </w:r>
      <w:r>
        <w:rPr>
          <w:b/>
        </w:rPr>
        <w:t xml:space="preserve"> lub odpowiednio zasady ubiegania się o</w:t>
      </w:r>
      <w:r w:rsidR="005A2D3C">
        <w:rPr>
          <w:b/>
        </w:rPr>
        <w:t> </w:t>
      </w:r>
      <w:r>
        <w:rPr>
          <w:b/>
        </w:rPr>
        <w:t>wsparcie w trybie pozakonkursowym</w:t>
      </w:r>
      <w:r w:rsidRPr="003B200E">
        <w:rPr>
          <w:b/>
        </w:rPr>
        <w:t xml:space="preserve"> determinuj</w:t>
      </w:r>
      <w:r>
        <w:rPr>
          <w:b/>
        </w:rPr>
        <w:t>ą</w:t>
      </w:r>
      <w:r w:rsidRPr="003B200E">
        <w:rPr>
          <w:b/>
        </w:rPr>
        <w:t xml:space="preserve"> sposób rozliczenia określonych  wydatków i nie pozostawia</w:t>
      </w:r>
      <w:r>
        <w:rPr>
          <w:b/>
        </w:rPr>
        <w:t>ją</w:t>
      </w:r>
      <w:r w:rsidRPr="003B200E">
        <w:rPr>
          <w:b/>
        </w:rPr>
        <w:t xml:space="preserve"> możliwości wyboru Wnioskodawcy.</w:t>
      </w:r>
    </w:p>
    <w:p w14:paraId="70610CAD" w14:textId="77777777" w:rsidR="00526548" w:rsidRPr="00526548" w:rsidRDefault="00526548" w:rsidP="00526548">
      <w:pPr>
        <w:tabs>
          <w:tab w:val="left" w:pos="5330"/>
        </w:tabs>
        <w:spacing w:line="240" w:lineRule="auto"/>
        <w:jc w:val="both"/>
      </w:pPr>
      <w:r w:rsidRPr="00526548">
        <w:t>W przypadku rozliczania wydatków za pomocą stawki ryczałtowej budżet projektu dzieli się na 3 grupy kosztów:</w:t>
      </w:r>
    </w:p>
    <w:p w14:paraId="56304574" w14:textId="77777777" w:rsidR="00526548" w:rsidRPr="007C5B38" w:rsidRDefault="00526548" w:rsidP="005265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  <w:r w:rsidRPr="009E483C">
        <w:rPr>
          <w:rFonts w:cs="Calibri"/>
        </w:rPr>
        <w:t>koszty rozliczane</w:t>
      </w:r>
      <w:r w:rsidRPr="007C5B38">
        <w:rPr>
          <w:rFonts w:cs="Calibri"/>
        </w:rPr>
        <w:t xml:space="preserve"> w ramach stawki ryczałtowej, </w:t>
      </w:r>
    </w:p>
    <w:p w14:paraId="14E54FAE" w14:textId="31BDA569" w:rsidR="00526548" w:rsidRPr="007C5B38" w:rsidRDefault="00526548" w:rsidP="005265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rozliczane metodą bezpośrednią (tj. w oparciu o rzeczywiste koszty wykazywane przez Beneficjenta we wniosku o płatność i potwierdzan</w:t>
      </w:r>
      <w:r w:rsidR="00D347F2">
        <w:rPr>
          <w:rFonts w:cs="Calibri"/>
        </w:rPr>
        <w:t>e</w:t>
      </w:r>
      <w:r w:rsidRPr="007C5B38">
        <w:rPr>
          <w:rFonts w:cs="Calibri"/>
        </w:rPr>
        <w:t xml:space="preserve"> dokumentami księgowymi)</w:t>
      </w:r>
      <w:r w:rsidR="00D347F2">
        <w:rPr>
          <w:rFonts w:cs="Calibri"/>
        </w:rPr>
        <w:t>,</w:t>
      </w:r>
      <w:r w:rsidRPr="007C5B38">
        <w:rPr>
          <w:rFonts w:cs="Calibri"/>
        </w:rPr>
        <w:t xml:space="preserve"> nie stanowiące podstawy wyliczenia stawki ryczałtowej, o ile zastosowanie stawki ryczałtowej wymaga określenia tego typu kosztów</w:t>
      </w:r>
      <w:r>
        <w:rPr>
          <w:rFonts w:cs="Calibri"/>
        </w:rPr>
        <w:t>,</w:t>
      </w:r>
    </w:p>
    <w:p w14:paraId="3C2E8633" w14:textId="0360C04B" w:rsidR="00526548" w:rsidRPr="007C5B38" w:rsidRDefault="00526548" w:rsidP="0052654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rozliczane metodą bezpośrednią stanowiące podstawę wyliczenia stawki ryczałtowej</w:t>
      </w:r>
      <w:r>
        <w:rPr>
          <w:rFonts w:cs="Calibri"/>
        </w:rPr>
        <w:t>.</w:t>
      </w:r>
    </w:p>
    <w:p w14:paraId="5FDF3103" w14:textId="77777777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10681BCE" w14:textId="0140BB2E" w:rsidR="00526548" w:rsidRPr="006329D5" w:rsidRDefault="00526548" w:rsidP="00526548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r w:rsidRPr="00AF3312">
        <w:rPr>
          <w:b/>
        </w:rPr>
        <w:t>Ze względu na specyficzny charakter projektów, poniższy ogólny katalog kosztów w poszczególnych kategoriach może zostać doprecyzowany w regulaminie konkursu lub odpowiednio w zasad</w:t>
      </w:r>
      <w:r w:rsidR="007A77C8" w:rsidRPr="00AF3312">
        <w:rPr>
          <w:b/>
        </w:rPr>
        <w:t>ach</w:t>
      </w:r>
      <w:r w:rsidRPr="00AF3312">
        <w:rPr>
          <w:b/>
        </w:rPr>
        <w:t xml:space="preserve"> ubiegania się o wsparcie w trybie pozakonkursowym, dopuszczający</w:t>
      </w:r>
      <w:r w:rsidR="0069710C" w:rsidRPr="00AF3312">
        <w:rPr>
          <w:b/>
        </w:rPr>
        <w:t>ch</w:t>
      </w:r>
      <w:r w:rsidRPr="00AF3312">
        <w:rPr>
          <w:b/>
        </w:rPr>
        <w:t xml:space="preserve"> możliwość zastosowania uproszczonych metod rozliczania wydatków</w:t>
      </w:r>
      <w:r w:rsidRPr="006329D5">
        <w:rPr>
          <w:b/>
        </w:rPr>
        <w:t xml:space="preserve">. </w:t>
      </w:r>
    </w:p>
    <w:p w14:paraId="04FF6DE7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5627F602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 w:rsidRPr="007C5B38">
        <w:rPr>
          <w:rFonts w:cs="Calibri"/>
          <w:b/>
        </w:rPr>
        <w:t xml:space="preserve">A. </w:t>
      </w:r>
      <w:r>
        <w:rPr>
          <w:rFonts w:cs="Calibri"/>
          <w:b/>
        </w:rPr>
        <w:t>K</w:t>
      </w:r>
      <w:r w:rsidRPr="007C5B38">
        <w:rPr>
          <w:rFonts w:cs="Calibri"/>
          <w:b/>
        </w:rPr>
        <w:t>oszty rozliczane w ramach stawki ryczałtowej:</w:t>
      </w:r>
    </w:p>
    <w:p w14:paraId="56158251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1235443B" w14:textId="6539E0F2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Stawką ryczałtową są obejmowane koszty pośrednie, tj. </w:t>
      </w:r>
      <w:r w:rsidR="00BA7DC6" w:rsidRPr="00BA7DC6">
        <w:rPr>
          <w:rFonts w:cs="Calibri"/>
        </w:rPr>
        <w:t xml:space="preserve">koszty niezbędne do realizacji projektu, ale niedotyczące bezpośrednio głównego przedmiotu projektu, wskazane jako kwalifikowalne w regulaminie konkursu lub zasadach ubiegania się o wsparcie w trybie pozakonkursowym. Obejmują one w szczególności koszty administracyjne, w przypadku których trudno jest dokładnie określić kwotę, którą można przypisać konkretnej czynności (np. koszty ogólne funkcjonowania jednostki związane z realizacją danego projektu, wynajęcia lub amortyzacji budynków i aparatury, usług telekomunikacyjnych i pocztowych, mediów, ubezpieczenia, wyposażenia biurowego), a także koszty zarządzania projektem (w tym koszty kadry zarządzającej projektem, koszty nadzoru inwestorskiego, koszty nadzorów branżowych i innych usług w zakresie zarządzania projektem) oraz koszty promocji projektu. W zakresie zarządzania projektem stawką ryczałtową obejmowane są koszty pośrednie wynikające zarówno z angażowania personelu beneficjenta jak i wynikające z zakupu usług/towarów w drodze zamówień. </w:t>
      </w:r>
    </w:p>
    <w:p w14:paraId="20874701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00BBB45A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Do katalogu kosztów rozliczanych w ramach stawki ryczałtowej </w:t>
      </w:r>
      <w:r>
        <w:rPr>
          <w:rFonts w:cs="Calibri"/>
        </w:rPr>
        <w:t xml:space="preserve">zalicza się </w:t>
      </w:r>
      <w:r w:rsidRPr="007C5B38">
        <w:rPr>
          <w:rFonts w:cs="Calibri"/>
        </w:rPr>
        <w:t>następujące rodzaje kosztów:</w:t>
      </w:r>
    </w:p>
    <w:p w14:paraId="3C02A302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341A963A" w14:textId="77777777" w:rsidR="00321E4D" w:rsidRDefault="00321E4D" w:rsidP="00526548">
      <w:pPr>
        <w:autoSpaceDE w:val="0"/>
        <w:autoSpaceDN w:val="0"/>
        <w:adjustRightInd w:val="0"/>
        <w:spacing w:after="0"/>
        <w:jc w:val="both"/>
        <w:rPr>
          <w:rFonts w:cs="Calibri"/>
          <w:b/>
          <w:u w:val="single"/>
        </w:rPr>
      </w:pPr>
    </w:p>
    <w:p w14:paraId="4C34540D" w14:textId="77777777" w:rsidR="00526548" w:rsidRPr="009B2F46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  <w:b/>
          <w:u w:val="single"/>
        </w:rPr>
      </w:pPr>
      <w:r w:rsidRPr="009B2F46">
        <w:rPr>
          <w:rFonts w:cs="Calibri"/>
          <w:b/>
          <w:u w:val="single"/>
        </w:rPr>
        <w:lastRenderedPageBreak/>
        <w:t>Grupa kosztów związanych z zarządzaniem projektem:</w:t>
      </w:r>
    </w:p>
    <w:p w14:paraId="0E89513D" w14:textId="770245D9" w:rsidR="00526548" w:rsidRPr="007C5B38" w:rsidRDefault="00526548" w:rsidP="003A6B1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koordynatora/menadżera/kierownika projektu oraz inn</w:t>
      </w:r>
      <w:r>
        <w:rPr>
          <w:rFonts w:cs="Calibri"/>
        </w:rPr>
        <w:t>ych</w:t>
      </w:r>
      <w:r w:rsidRPr="007C5B38">
        <w:rPr>
          <w:rFonts w:cs="Calibri"/>
        </w:rPr>
        <w:t xml:space="preserve"> </w:t>
      </w:r>
      <w:r>
        <w:rPr>
          <w:rFonts w:cs="Calibri"/>
        </w:rPr>
        <w:t xml:space="preserve">osób </w:t>
      </w:r>
      <w:r w:rsidRPr="007C5B38">
        <w:rPr>
          <w:rFonts w:cs="Calibri"/>
        </w:rPr>
        <w:t>bezpośrednio zaangażowan</w:t>
      </w:r>
      <w:r>
        <w:rPr>
          <w:rFonts w:cs="Calibri"/>
        </w:rPr>
        <w:t>ych</w:t>
      </w:r>
      <w:r w:rsidRPr="007C5B38">
        <w:rPr>
          <w:rFonts w:cs="Calibri"/>
        </w:rPr>
        <w:t xml:space="preserve"> w zarządzanie projektem, monitorowanie i jego rozliczanie lub prowadzenie innych działań administracyjnych w projekcie, o ile </w:t>
      </w:r>
      <w:r w:rsidR="00C833FC">
        <w:rPr>
          <w:rFonts w:cs="Calibri"/>
        </w:rPr>
        <w:t>ich</w:t>
      </w:r>
      <w:r w:rsidRPr="007C5B38">
        <w:rPr>
          <w:rFonts w:cs="Calibri"/>
        </w:rPr>
        <w:t xml:space="preserve"> zatrudnienie jest niezbędne dla realizacji projektu, w tym w szczególności koszty wynagrodzenia tych osób, ich delegacji służbowych</w:t>
      </w:r>
      <w:r>
        <w:rPr>
          <w:rFonts w:cs="Calibri"/>
        </w:rPr>
        <w:t xml:space="preserve"> </w:t>
      </w:r>
      <w:r w:rsidR="0045119D">
        <w:rPr>
          <w:rFonts w:cs="Calibri"/>
        </w:rPr>
        <w:t xml:space="preserve">(z zastrzeżeniem poniższego pkt. 7) </w:t>
      </w:r>
      <w:r w:rsidRPr="007C5B38">
        <w:rPr>
          <w:rFonts w:cs="Calibri"/>
        </w:rPr>
        <w:t>oraz koszty związane z wdrażaniem polityki równych szans przez te osoby,</w:t>
      </w:r>
    </w:p>
    <w:p w14:paraId="44FE54D2" w14:textId="77777777" w:rsidR="00526548" w:rsidRDefault="00526548" w:rsidP="003A6B1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zarządu w wysokości zależnej od zaangażowania czasowego w realizację projektu (koszty wynagrodzenia osób uprawnionych do reprezentowania jednostki, których zakresy czynności nie są przypisane wyłącznie do projektu, np. kierownik jednostki),</w:t>
      </w:r>
    </w:p>
    <w:p w14:paraId="17C86020" w14:textId="2D059A28" w:rsidR="001D03FF" w:rsidRDefault="001D03FF" w:rsidP="001D03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1D03FF">
        <w:rPr>
          <w:rFonts w:cs="Calibri"/>
        </w:rPr>
        <w:t xml:space="preserve">koszty innych usług polegających na zlecaniu zadań związanych z zarządzaniem projektem (np. inżynier kontraktu, koordynator projektu), </w:t>
      </w:r>
    </w:p>
    <w:p w14:paraId="62F4BB2A" w14:textId="6E71B873" w:rsidR="001D03FF" w:rsidRDefault="001D03FF" w:rsidP="001D03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1D03FF">
        <w:rPr>
          <w:rFonts w:cs="Calibri"/>
        </w:rPr>
        <w:t>koszty usług związanych z prowadzeniem nadzorów w projekcie (innych niż nadzór autorski), w tym nadzór inwestorski oraz nadzory branżowe</w:t>
      </w:r>
      <w:r>
        <w:rPr>
          <w:rFonts w:cs="Calibri"/>
        </w:rPr>
        <w:t>,</w:t>
      </w:r>
    </w:p>
    <w:p w14:paraId="6C08D6F3" w14:textId="6BB4DB16" w:rsidR="00526548" w:rsidRDefault="00526548" w:rsidP="001D03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1D03FF">
        <w:rPr>
          <w:rFonts w:cs="Calibri"/>
        </w:rPr>
        <w:t>koszty personelu obsługowego (obsługa kadrowa, finansowa, administracyjna, sekretariat, kancelaria, obsługa prawna) zatrudnionego na potrzeby funkcjonowania jednostki, a</w:t>
      </w:r>
      <w:r w:rsidR="00E36E16" w:rsidRPr="001D03FF">
        <w:rPr>
          <w:rFonts w:cs="Calibri"/>
        </w:rPr>
        <w:t> </w:t>
      </w:r>
      <w:r w:rsidRPr="001D03FF">
        <w:rPr>
          <w:rFonts w:cs="Calibri"/>
        </w:rPr>
        <w:t>wykonującego zadania związane z obsługą projektu,</w:t>
      </w:r>
    </w:p>
    <w:p w14:paraId="538096A8" w14:textId="333F0E16" w:rsidR="00526548" w:rsidRDefault="00526548" w:rsidP="001D03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1D03FF">
        <w:rPr>
          <w:rFonts w:cs="Calibri"/>
        </w:rPr>
        <w:t xml:space="preserve">koszty obsługi technicznej/personelu technicznego (np. informatyka) nie </w:t>
      </w:r>
      <w:r w:rsidR="00E90646" w:rsidRPr="001D03FF">
        <w:rPr>
          <w:rFonts w:cs="Calibri"/>
        </w:rPr>
        <w:t>stanowiące wydatków/kosztów osobowych związanych z zaangażowaniem personelu (kadry merytorycznej)</w:t>
      </w:r>
      <w:r w:rsidRPr="001D03FF">
        <w:rPr>
          <w:rFonts w:cs="Calibri"/>
        </w:rPr>
        <w:t>,</w:t>
      </w:r>
    </w:p>
    <w:p w14:paraId="5823454B" w14:textId="0D1625E4" w:rsidR="001D03FF" w:rsidRDefault="001D03FF" w:rsidP="001D03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1D03FF">
        <w:rPr>
          <w:rFonts w:cs="Calibri"/>
        </w:rPr>
        <w:t>koszty delegacji służbowych z wyłączeniem delegacji związanych z udziałem w targach i misjach gospodarczych</w:t>
      </w:r>
      <w:r w:rsidRPr="00F66E26">
        <w:rPr>
          <w:rFonts w:cs="Calibri"/>
        </w:rPr>
        <w:t>.</w:t>
      </w:r>
    </w:p>
    <w:p w14:paraId="07208459" w14:textId="28E337EB" w:rsidR="00526548" w:rsidRPr="001D03FF" w:rsidRDefault="00526548" w:rsidP="001D03FF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05821198" w14:textId="77777777" w:rsidR="00526548" w:rsidRPr="007C5B38" w:rsidRDefault="00526548" w:rsidP="00526548">
      <w:pPr>
        <w:autoSpaceDE w:val="0"/>
        <w:autoSpaceDN w:val="0"/>
        <w:adjustRightInd w:val="0"/>
        <w:spacing w:after="0"/>
        <w:ind w:left="709" w:hanging="425"/>
        <w:jc w:val="both"/>
        <w:rPr>
          <w:rFonts w:cs="Calibri"/>
        </w:rPr>
      </w:pPr>
    </w:p>
    <w:p w14:paraId="69E99DBA" w14:textId="77777777" w:rsidR="00526548" w:rsidRPr="0026018E" w:rsidRDefault="00526548" w:rsidP="003A6B11">
      <w:pPr>
        <w:autoSpaceDE w:val="0"/>
        <w:autoSpaceDN w:val="0"/>
        <w:adjustRightInd w:val="0"/>
        <w:spacing w:after="0"/>
        <w:ind w:left="709" w:hanging="709"/>
        <w:rPr>
          <w:rFonts w:cs="Calibri"/>
          <w:b/>
          <w:u w:val="single"/>
        </w:rPr>
      </w:pPr>
      <w:r w:rsidRPr="0026018E">
        <w:rPr>
          <w:rFonts w:cs="Calibri"/>
          <w:b/>
          <w:u w:val="single"/>
        </w:rPr>
        <w:t xml:space="preserve">Grupa </w:t>
      </w:r>
      <w:r>
        <w:rPr>
          <w:rFonts w:cs="Calibri"/>
          <w:b/>
          <w:u w:val="single"/>
        </w:rPr>
        <w:t xml:space="preserve">pozostałych </w:t>
      </w:r>
      <w:r w:rsidRPr="0026018E">
        <w:rPr>
          <w:rFonts w:cs="Calibri"/>
          <w:b/>
          <w:u w:val="single"/>
        </w:rPr>
        <w:t>kosztów administracyjnych</w:t>
      </w:r>
      <w:r>
        <w:rPr>
          <w:rFonts w:cs="Calibri"/>
          <w:b/>
          <w:u w:val="single"/>
        </w:rPr>
        <w:t>:</w:t>
      </w:r>
    </w:p>
    <w:p w14:paraId="4254DA89" w14:textId="54A9997F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utrzymania powierzchni biurowych (czynsz, najem, opłaty administracyjne) związanych z</w:t>
      </w:r>
      <w:r w:rsidR="00E36E16">
        <w:rPr>
          <w:rFonts w:cs="Calibri"/>
        </w:rPr>
        <w:t> </w:t>
      </w:r>
      <w:r w:rsidRPr="007C5B38">
        <w:rPr>
          <w:rFonts w:cs="Calibri"/>
        </w:rPr>
        <w:t>obsługą administracyjną projektu,</w:t>
      </w:r>
    </w:p>
    <w:p w14:paraId="4C509E2C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wydatki związane z otworzeniem lub prowadzeniem wyodrębnionego na rzecz projektu subkonta na rachunku bankowym lub odrębnego rachunku bankowego,</w:t>
      </w:r>
    </w:p>
    <w:p w14:paraId="4BD0E71C" w14:textId="0E7A8D6C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 xml:space="preserve">amortyzacja, najem lub zakup aktywów (środków trwałych i wartości niematerialnych  i prawnych) używanych na potrzeby </w:t>
      </w:r>
      <w:r w:rsidR="009074A5">
        <w:rPr>
          <w:rFonts w:cs="Calibri"/>
        </w:rPr>
        <w:t xml:space="preserve">zarządzania projektem </w:t>
      </w:r>
      <w:r w:rsidRPr="007C5B38">
        <w:rPr>
          <w:rFonts w:cs="Calibri"/>
        </w:rPr>
        <w:t xml:space="preserve">, o którym mowa w pkt </w:t>
      </w:r>
      <w:r w:rsidR="009074A5">
        <w:rPr>
          <w:rFonts w:cs="Calibri"/>
        </w:rPr>
        <w:t>1-7</w:t>
      </w:r>
      <w:r w:rsidRPr="007C5B38">
        <w:rPr>
          <w:rFonts w:cs="Calibri"/>
        </w:rPr>
        <w:t xml:space="preserve"> oraz inne nie przeznaczone w 100% do realizacji działań bezpośrednich,</w:t>
      </w:r>
    </w:p>
    <w:p w14:paraId="283EF0F2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opłaty za energię elektryczną, cieplną, gazową i wodę, opłaty przesyłowe, opłaty za odprowadzanie ścieków w zakresie związanym z obsługą administracyjną projektu,</w:t>
      </w:r>
    </w:p>
    <w:p w14:paraId="11AE2A3D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usług pocztowych, telefonicznych, internetowych, kurierskich związanych z obsługą administracyjną projektu,</w:t>
      </w:r>
    </w:p>
    <w:p w14:paraId="61973415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usług powielania dokumentów związanych z obsługą administracyjną projektu,</w:t>
      </w:r>
    </w:p>
    <w:p w14:paraId="00B6063D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materiałów biurowych i artykułów piśmienniczych związanych z obsługą administracyjną projektu,</w:t>
      </w:r>
    </w:p>
    <w:p w14:paraId="621A0842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ubezpieczeń majątkowych</w:t>
      </w:r>
      <w:r>
        <w:rPr>
          <w:rFonts w:cs="Calibri"/>
        </w:rPr>
        <w:t xml:space="preserve"> związanych z projektem </w:t>
      </w:r>
      <w:r w:rsidRPr="007C5B38">
        <w:rPr>
          <w:rFonts w:cs="Calibri"/>
        </w:rPr>
        <w:t xml:space="preserve"> i innych, z wyłączeniem ubezpieczeń osób i eksponatów w związku z udziałem w targach i misjach gospodarczych,</w:t>
      </w:r>
    </w:p>
    <w:p w14:paraId="1BBBAB5D" w14:textId="09702DCB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ochrony</w:t>
      </w:r>
      <w:r>
        <w:rPr>
          <w:rFonts w:cs="Calibri"/>
        </w:rPr>
        <w:t xml:space="preserve"> mienia związanego z projektem</w:t>
      </w:r>
      <w:r w:rsidRPr="007C5B38">
        <w:rPr>
          <w:rFonts w:cs="Calibri"/>
        </w:rPr>
        <w:t>, z wyłączeniem ubezpieczeń osób i eksponatów w</w:t>
      </w:r>
      <w:r w:rsidR="00E36E16">
        <w:rPr>
          <w:rFonts w:cs="Calibri"/>
        </w:rPr>
        <w:t> </w:t>
      </w:r>
      <w:r w:rsidRPr="007C5B38">
        <w:rPr>
          <w:rFonts w:cs="Calibri"/>
        </w:rPr>
        <w:t>związku z udziałem w targach i misjach gospodarczych,</w:t>
      </w:r>
    </w:p>
    <w:p w14:paraId="09A9D67F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sprzątania pomieszczeń związanych z obsługą administracyjną projektu, w tym środki do utrzymania ich czystości oraz dezynsekcję, dezynfekcję, deratyzację tych pomieszczeń,</w:t>
      </w:r>
    </w:p>
    <w:p w14:paraId="53967318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lastRenderedPageBreak/>
        <w:t>koszty związane z konserwacją i naprawą urządzeń biurowych/koszt zakupu urządzeń i sprzętu biurowego nie będących środkiem trwałym, na potrzeby zarządzania projektem,</w:t>
      </w:r>
    </w:p>
    <w:p w14:paraId="4DCA38F5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utylizacji odpadów na potrzeby zarządzania projektem,</w:t>
      </w:r>
    </w:p>
    <w:p w14:paraId="61F7F5A7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hosting na potrzeby funkcjonowania projektu,</w:t>
      </w:r>
    </w:p>
    <w:p w14:paraId="00980208" w14:textId="77777777" w:rsidR="0052654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opłat skarbowych i notarialnych związanych z realizacją projektu,</w:t>
      </w:r>
    </w:p>
    <w:p w14:paraId="629291C5" w14:textId="77777777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 usług tłumaczenia dokumentów niezbędnych do przedłożenia instytucji zarządzającej na potrzeby rozliczenia i kontroli prawidłowej realizacji projektu</w:t>
      </w:r>
      <w:r>
        <w:rPr>
          <w:rFonts w:cs="Calibri"/>
        </w:rPr>
        <w:t>,</w:t>
      </w:r>
    </w:p>
    <w:p w14:paraId="2BEF1A7F" w14:textId="66BF3C84" w:rsidR="00526548" w:rsidRPr="007C5B3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>koszty</w:t>
      </w:r>
      <w:r w:rsidR="009074A5">
        <w:rPr>
          <w:rFonts w:cs="Calibri"/>
        </w:rPr>
        <w:t xml:space="preserve"> ustanowienia</w:t>
      </w:r>
      <w:r w:rsidRPr="007C5B38">
        <w:rPr>
          <w:rFonts w:cs="Calibri"/>
        </w:rPr>
        <w:t xml:space="preserve"> zabezpieczenia prawidłowej realizacji umowy</w:t>
      </w:r>
      <w:r w:rsidR="00E90646">
        <w:rPr>
          <w:rFonts w:cs="Calibri"/>
        </w:rPr>
        <w:t xml:space="preserve"> o dofinansowanie projektu</w:t>
      </w:r>
      <w:r>
        <w:rPr>
          <w:rFonts w:cs="Calibri"/>
        </w:rPr>
        <w:t>.</w:t>
      </w:r>
    </w:p>
    <w:p w14:paraId="0ED8369B" w14:textId="77777777" w:rsidR="00526548" w:rsidRPr="007C5B38" w:rsidRDefault="00526548" w:rsidP="00526548">
      <w:pPr>
        <w:autoSpaceDE w:val="0"/>
        <w:autoSpaceDN w:val="0"/>
        <w:adjustRightInd w:val="0"/>
        <w:spacing w:after="0"/>
        <w:ind w:left="709" w:hanging="425"/>
        <w:jc w:val="both"/>
        <w:rPr>
          <w:rFonts w:cs="Calibri"/>
        </w:rPr>
      </w:pPr>
    </w:p>
    <w:p w14:paraId="17B3A231" w14:textId="77777777" w:rsidR="00526548" w:rsidRPr="00167C31" w:rsidRDefault="00526548" w:rsidP="009074A5">
      <w:pPr>
        <w:autoSpaceDE w:val="0"/>
        <w:autoSpaceDN w:val="0"/>
        <w:adjustRightInd w:val="0"/>
        <w:spacing w:after="0"/>
        <w:ind w:left="709" w:hanging="709"/>
        <w:jc w:val="both"/>
        <w:rPr>
          <w:rFonts w:cs="Calibri"/>
          <w:b/>
        </w:rPr>
      </w:pPr>
      <w:r w:rsidRPr="00167C31">
        <w:rPr>
          <w:rFonts w:cs="Calibri"/>
          <w:b/>
        </w:rPr>
        <w:t>Koszty informacji i promocji:</w:t>
      </w:r>
    </w:p>
    <w:p w14:paraId="2AA2D820" w14:textId="200C1A9F" w:rsidR="00526548" w:rsidRDefault="00526548" w:rsidP="001D03F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cs="Calibri"/>
        </w:rPr>
      </w:pPr>
      <w:r w:rsidRPr="007C5B38">
        <w:rPr>
          <w:rFonts w:cs="Calibri"/>
        </w:rPr>
        <w:t xml:space="preserve">działania  informacyjno-promocyjne  projektu  (np.  zakup  materiałów  promocyjnych  i informacyjnych, zakup ogłoszeń prasowych, </w:t>
      </w:r>
      <w:r w:rsidR="00E90646">
        <w:rPr>
          <w:rFonts w:cs="Calibri"/>
        </w:rPr>
        <w:t>plakat/tablice promocyjne/</w:t>
      </w:r>
      <w:r w:rsidRPr="007C5B38">
        <w:rPr>
          <w:rFonts w:cs="Calibri"/>
        </w:rPr>
        <w:t>tablice informacyjne), wynikające z obowiązków określonych w umowie o dofinansowanie projektu</w:t>
      </w:r>
      <w:r w:rsidR="00C833FC">
        <w:rPr>
          <w:rFonts w:cs="Calibri"/>
        </w:rPr>
        <w:t xml:space="preserve">. </w:t>
      </w:r>
    </w:p>
    <w:p w14:paraId="280AA7F5" w14:textId="3BDA25E4" w:rsidR="00843D11" w:rsidRDefault="00843D11" w:rsidP="00843D11">
      <w:pPr>
        <w:pStyle w:val="Akapitzlist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</w:p>
    <w:p w14:paraId="3AEC6509" w14:textId="77777777" w:rsidR="00843D11" w:rsidRDefault="00843D11" w:rsidP="00843D11">
      <w:pPr>
        <w:pStyle w:val="Akapitzlist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</w:p>
    <w:p w14:paraId="2E7ED3AC" w14:textId="77777777" w:rsidR="00843D11" w:rsidRPr="009074A5" w:rsidRDefault="00843D11" w:rsidP="009074A5">
      <w:pPr>
        <w:jc w:val="both"/>
        <w:rPr>
          <w:rFonts w:cs="Calibri"/>
          <w:b/>
        </w:rPr>
      </w:pPr>
      <w:r w:rsidRPr="009074A5">
        <w:rPr>
          <w:rFonts w:cs="Calibri"/>
          <w:b/>
        </w:rPr>
        <w:t>Powyższe koszty są rozliczane wg procentowej stawki, która jest wyliczana od pozostałych wydatków kwalifikowalnych w projekcie, z zastrzeżeniem punktu B opisanego poniżej.</w:t>
      </w:r>
    </w:p>
    <w:p w14:paraId="4486C976" w14:textId="77777777" w:rsidR="00843D11" w:rsidRPr="00BA7DC6" w:rsidRDefault="00843D11" w:rsidP="009074A5">
      <w:pPr>
        <w:jc w:val="both"/>
        <w:rPr>
          <w:rFonts w:cs="Calibri"/>
        </w:rPr>
      </w:pPr>
      <w:r w:rsidRPr="000F7BBA">
        <w:rPr>
          <w:rFonts w:cs="Calibri"/>
        </w:rPr>
        <w:t>W przypadku projektów objętych pomocą publiczną wydatki z powyższego katalogu – zgodnie z właściwymi zasadami udzielania tej pomocy – mogą stanowić wydatek niekwalifikowalny. Wówczas nie mogą być one obejmowane stawką ryczałtową w oparciu o powyższe zasady dotyczące pomocy publicznej. Mogą być jednak objęte dofinansowaniem na zasadach pom</w:t>
      </w:r>
      <w:r w:rsidRPr="00F67081">
        <w:rPr>
          <w:rFonts w:cs="Calibri"/>
        </w:rPr>
        <w:t xml:space="preserve">ocy </w:t>
      </w:r>
      <w:r w:rsidRPr="00F67081">
        <w:rPr>
          <w:rFonts w:cs="Calibri"/>
          <w:i/>
        </w:rPr>
        <w:t>de minimis</w:t>
      </w:r>
      <w:r w:rsidRPr="00BA7DC6">
        <w:rPr>
          <w:rFonts w:cs="Calibri"/>
        </w:rPr>
        <w:t>.</w:t>
      </w:r>
    </w:p>
    <w:p w14:paraId="2F1407DF" w14:textId="77777777" w:rsidR="00843D11" w:rsidRPr="007C5B38" w:rsidRDefault="00843D11" w:rsidP="009074A5">
      <w:pPr>
        <w:pStyle w:val="Akapitzlist"/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cs="Calibri"/>
        </w:rPr>
      </w:pPr>
    </w:p>
    <w:p w14:paraId="444A1F1D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 w:rsidRPr="007C5B38">
        <w:rPr>
          <w:rFonts w:cs="Calibri"/>
          <w:b/>
        </w:rPr>
        <w:t xml:space="preserve">B. </w:t>
      </w:r>
      <w:r w:rsidR="00025329">
        <w:rPr>
          <w:rFonts w:cs="Calibri"/>
          <w:b/>
        </w:rPr>
        <w:t>K</w:t>
      </w:r>
      <w:r w:rsidRPr="007C5B38">
        <w:rPr>
          <w:rFonts w:cs="Calibri"/>
          <w:b/>
        </w:rPr>
        <w:t>oszty rozliczane metodą bezpośrednią nie stanowiące podstawy wyliczenia stawki ryczałtowej</w:t>
      </w:r>
    </w:p>
    <w:p w14:paraId="6A986D0E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749CA3E6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W ramach tej kategorii będą wskazywane koszty bezpośrednie, które są zlecone podmiotom trzecim w drodze podwykonawstwa oraz koszty ponoszone w ramach mechanizmu </w:t>
      </w:r>
      <w:r w:rsidRPr="00025329">
        <w:rPr>
          <w:rFonts w:cs="Calibri"/>
          <w:i/>
        </w:rPr>
        <w:t>cross-financing</w:t>
      </w:r>
      <w:r w:rsidRPr="007C5B38">
        <w:rPr>
          <w:rFonts w:cs="Calibri"/>
        </w:rPr>
        <w:t>.</w:t>
      </w:r>
    </w:p>
    <w:p w14:paraId="7A4E1FDA" w14:textId="5E613FFE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72572B42" w14:textId="3D1C22A0" w:rsidR="00CB18AB" w:rsidRPr="00CB18AB" w:rsidRDefault="00CB18AB" w:rsidP="00CB18AB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lang w:eastAsia="en-US"/>
        </w:rPr>
      </w:pPr>
      <w:r w:rsidRPr="009074A5">
        <w:rPr>
          <w:rFonts w:ascii="Calibri" w:eastAsia="Calibri" w:hAnsi="Calibri" w:cs="Calibri"/>
          <w:lang w:eastAsia="en-US"/>
        </w:rPr>
        <w:t>Podwykonawstwo</w:t>
      </w:r>
      <w:r w:rsidRPr="00CB18AB">
        <w:rPr>
          <w:rFonts w:ascii="Calibri" w:eastAsia="Calibri" w:hAnsi="Calibri" w:cs="Calibri"/>
          <w:lang w:eastAsia="en-US"/>
        </w:rPr>
        <w:t xml:space="preserve"> – </w:t>
      </w:r>
      <w:r>
        <w:rPr>
          <w:rFonts w:ascii="Calibri" w:eastAsia="Calibri" w:hAnsi="Calibri" w:cs="Calibri"/>
          <w:lang w:eastAsia="en-US"/>
        </w:rPr>
        <w:t>j</w:t>
      </w:r>
      <w:r w:rsidRPr="00CB18AB">
        <w:rPr>
          <w:rFonts w:ascii="Calibri" w:eastAsia="Calibri" w:hAnsi="Calibri" w:cs="Calibri"/>
          <w:lang w:eastAsia="en-US"/>
        </w:rPr>
        <w:t xml:space="preserve">est to szczególny rodzaj zlecenia zadań w projekcie i w tym rozumieniu nie jest to pojęcie tożsame z przepisami prawa zamówień publicznych. Podwykonawstwo należy rozumieć jako zadania zlecone w projekcie podwykonawcy, tj. stronie trzeciej, która na warunkach rynkowych zawarła umowę z </w:t>
      </w:r>
      <w:r>
        <w:rPr>
          <w:rFonts w:ascii="Calibri" w:eastAsia="Calibri" w:hAnsi="Calibri" w:cs="Calibri"/>
          <w:lang w:eastAsia="en-US"/>
        </w:rPr>
        <w:t>B</w:t>
      </w:r>
      <w:r w:rsidRPr="00CB18AB">
        <w:rPr>
          <w:rFonts w:ascii="Calibri" w:eastAsia="Calibri" w:hAnsi="Calibri" w:cs="Calibri"/>
          <w:lang w:eastAsia="en-US"/>
        </w:rPr>
        <w:t xml:space="preserve">eneficjentem, w celu wykonania części prac związanych z realizacją projektu. Podwykonawca nie podlega bezpośredniemu nadzorowi </w:t>
      </w:r>
      <w:r>
        <w:rPr>
          <w:rFonts w:ascii="Calibri" w:eastAsia="Calibri" w:hAnsi="Calibri" w:cs="Calibri"/>
          <w:lang w:eastAsia="en-US"/>
        </w:rPr>
        <w:t>B</w:t>
      </w:r>
      <w:r w:rsidRPr="00CB18AB">
        <w:rPr>
          <w:rFonts w:ascii="Calibri" w:eastAsia="Calibri" w:hAnsi="Calibri" w:cs="Calibri"/>
          <w:lang w:eastAsia="en-US"/>
        </w:rPr>
        <w:t xml:space="preserve">eneficjenta i nie jest mu hierarchicznie podporządkowany (inaczej, niż to się dzieje w przypadku pracownika </w:t>
      </w:r>
      <w:r>
        <w:rPr>
          <w:rFonts w:ascii="Calibri" w:eastAsia="Calibri" w:hAnsi="Calibri" w:cs="Calibri"/>
          <w:lang w:eastAsia="en-US"/>
        </w:rPr>
        <w:t>B</w:t>
      </w:r>
      <w:r w:rsidRPr="00CB18AB">
        <w:rPr>
          <w:rFonts w:ascii="Calibri" w:eastAsia="Calibri" w:hAnsi="Calibri" w:cs="Calibri"/>
          <w:lang w:eastAsia="en-US"/>
        </w:rPr>
        <w:t>eneficjenta lub podmiotu zależnego).</w:t>
      </w:r>
      <w:r>
        <w:rPr>
          <w:rFonts w:ascii="Calibri" w:eastAsia="Calibri" w:hAnsi="Calibri" w:cs="Calibri"/>
          <w:lang w:eastAsia="en-US"/>
        </w:rPr>
        <w:t xml:space="preserve"> </w:t>
      </w:r>
      <w:r w:rsidRPr="00CB18AB">
        <w:rPr>
          <w:rFonts w:ascii="Calibri" w:eastAsia="Calibri" w:hAnsi="Calibri" w:cs="Calibri"/>
          <w:lang w:eastAsia="en-US"/>
        </w:rPr>
        <w:t xml:space="preserve">Zatem podwykonawstwa nie należy utożsamiać z każdym wyborem wykonawcy, a jedynie z sytuacją, w której zlecenie zadania nie generuje kosztów pośrednich u </w:t>
      </w:r>
      <w:r>
        <w:rPr>
          <w:rFonts w:ascii="Calibri" w:eastAsia="Calibri" w:hAnsi="Calibri" w:cs="Calibri"/>
          <w:lang w:eastAsia="en-US"/>
        </w:rPr>
        <w:t>B</w:t>
      </w:r>
      <w:r w:rsidRPr="00CB18AB">
        <w:rPr>
          <w:rFonts w:ascii="Calibri" w:eastAsia="Calibri" w:hAnsi="Calibri" w:cs="Calibri"/>
          <w:lang w:eastAsia="en-US"/>
        </w:rPr>
        <w:t>eneficjenta. W przypadku zlecania zadań w projekcie wykonawcom Beneficjent powinien zbadać, czy sposób w jaki zlecił te zadania będzie prowadził do powstawania kosztów pośrednich po jego stronie i tym samym zadania te powinny być włączone do podstawy wyliczenia stawki ryczałtowej, czy też nie będą prowadziły do powstawania kosztów pośrednich po jego stronie, i tym samym będą stanowiły podwykonawstwo i będą wyłączane z po</w:t>
      </w:r>
      <w:r w:rsidR="00A476E8">
        <w:rPr>
          <w:rFonts w:ascii="Calibri" w:eastAsia="Calibri" w:hAnsi="Calibri" w:cs="Calibri"/>
          <w:lang w:eastAsia="en-US"/>
        </w:rPr>
        <w:t>d</w:t>
      </w:r>
      <w:r w:rsidRPr="00CB18AB">
        <w:rPr>
          <w:rFonts w:ascii="Calibri" w:eastAsia="Calibri" w:hAnsi="Calibri" w:cs="Calibri"/>
          <w:lang w:eastAsia="en-US"/>
        </w:rPr>
        <w:t xml:space="preserve">stawy wyliczenia kosztów pośrednich. </w:t>
      </w:r>
    </w:p>
    <w:p w14:paraId="152376F8" w14:textId="77777777" w:rsidR="00CB18AB" w:rsidRPr="00CB18AB" w:rsidRDefault="00CB18AB" w:rsidP="00CB18AB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highlight w:val="green"/>
          <w:lang w:eastAsia="en-US"/>
        </w:rPr>
      </w:pPr>
      <w:r w:rsidRPr="00CB18AB">
        <w:rPr>
          <w:rFonts w:ascii="Calibri" w:eastAsia="Calibri" w:hAnsi="Calibri" w:cs="Calibri"/>
          <w:lang w:eastAsia="en-US"/>
        </w:rPr>
        <w:t xml:space="preserve">Podwykonawstwem nie są usługi wskazane w katalogu kosztów pośrednich, podlegających </w:t>
      </w:r>
      <w:r w:rsidRPr="00CB18AB">
        <w:rPr>
          <w:rFonts w:ascii="Calibri" w:eastAsia="Calibri" w:hAnsi="Calibri" w:cs="Calibri"/>
          <w:lang w:eastAsia="en-US"/>
        </w:rPr>
        <w:br/>
        <w:t>rozliczeniu w oparciu o stawkę ryczałtową.</w:t>
      </w:r>
    </w:p>
    <w:p w14:paraId="53E0D8F3" w14:textId="77777777" w:rsidR="00CB18AB" w:rsidRPr="007C5B38" w:rsidRDefault="00CB18AB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2228F00C" w14:textId="0F4AC0FD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43D11">
        <w:rPr>
          <w:rFonts w:cs="Calibri"/>
        </w:rPr>
        <w:lastRenderedPageBreak/>
        <w:t xml:space="preserve">Wyodrębnienie tej grupy kosztów jest fakultatywne i zależne od założeń przyjętych dla szczegółowej metodologii stawki ryczałtowej opracowanej dla danego naboru. </w:t>
      </w:r>
    </w:p>
    <w:p w14:paraId="178DCDF6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3623026D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Wydatków wykazywanych w ramach tej grupy kosztów nie wlicza się do podstawy wyliczenia stawki ryczałtowej. Rozliczane są na podstawie faktycznie poniesionych wydatków i wymagają przedstawienia właściwych dokumentów księgowych we wniosku o płatność.</w:t>
      </w:r>
    </w:p>
    <w:p w14:paraId="5B28D17E" w14:textId="77777777" w:rsidR="007800B1" w:rsidRPr="007C5B38" w:rsidRDefault="007800B1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2088CC4B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  <w:b/>
        </w:rPr>
      </w:pPr>
      <w:r w:rsidRPr="007C5B38">
        <w:rPr>
          <w:rFonts w:cs="Calibri"/>
          <w:b/>
        </w:rPr>
        <w:t xml:space="preserve">C. </w:t>
      </w:r>
      <w:r w:rsidR="00025329">
        <w:rPr>
          <w:rFonts w:cs="Calibri"/>
          <w:b/>
        </w:rPr>
        <w:t>K</w:t>
      </w:r>
      <w:r w:rsidRPr="007C5B38">
        <w:rPr>
          <w:rFonts w:cs="Calibri"/>
          <w:b/>
        </w:rPr>
        <w:t>oszty rozliczane metodą bezpośrednią stanowiące podstawę wyliczenia stawki ryczałtowej</w:t>
      </w:r>
    </w:p>
    <w:p w14:paraId="3B1228E5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42B7B641" w14:textId="305AB536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Ta kategoria obejmuje wszystkie wydatki kwalifikowalne projektu nieujęte w powyższych punktach A i</w:t>
      </w:r>
      <w:r w:rsidR="00E36E16">
        <w:rPr>
          <w:rFonts w:cs="Calibri"/>
        </w:rPr>
        <w:t> </w:t>
      </w:r>
      <w:r w:rsidRPr="007C5B38">
        <w:rPr>
          <w:rFonts w:cs="Calibri"/>
        </w:rPr>
        <w:t>B. W szczególności są to koszty bezpośrednie, niezbędne dla osiągnięcia celu głównego projektu (np. roboty budowlane, zakup środków trwałych, et</w:t>
      </w:r>
      <w:r w:rsidR="00025329">
        <w:rPr>
          <w:rFonts w:cs="Calibri"/>
        </w:rPr>
        <w:t>c.</w:t>
      </w:r>
      <w:r w:rsidRPr="007C5B38">
        <w:rPr>
          <w:rFonts w:cs="Calibri"/>
        </w:rPr>
        <w:t>). Rozliczane są na podstawie faktycznie poniesionych wydatków i wymagają przedstawienia właściwych dokumentów księgowych we wniosku o płatność</w:t>
      </w:r>
      <w:r>
        <w:rPr>
          <w:rFonts w:cs="Calibri"/>
        </w:rPr>
        <w:t xml:space="preserve"> (zgodnie z zasadami wynikającymi z umowy</w:t>
      </w:r>
      <w:r w:rsidR="00DE269E">
        <w:rPr>
          <w:rFonts w:cs="Calibri"/>
        </w:rPr>
        <w:t>/porozumienia/decyzji o dofinansowaniu</w:t>
      </w:r>
      <w:r>
        <w:rPr>
          <w:rFonts w:cs="Calibri"/>
        </w:rPr>
        <w:t>)</w:t>
      </w:r>
      <w:r w:rsidRPr="007C5B38">
        <w:rPr>
          <w:rFonts w:cs="Calibri"/>
        </w:rPr>
        <w:t>.</w:t>
      </w:r>
    </w:p>
    <w:p w14:paraId="1CD7A605" w14:textId="77777777" w:rsidR="00025329" w:rsidRDefault="00025329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1808CF75" w14:textId="77777777" w:rsidR="002E341E" w:rsidRPr="002D3C6C" w:rsidRDefault="002E341E" w:rsidP="002E341E">
      <w:pPr>
        <w:pStyle w:val="Tekstprzypisukocowego"/>
        <w:jc w:val="both"/>
        <w:rPr>
          <w:sz w:val="22"/>
          <w:szCs w:val="22"/>
        </w:rPr>
      </w:pPr>
      <w:r w:rsidRPr="002D3C6C">
        <w:rPr>
          <w:b/>
          <w:sz w:val="22"/>
          <w:szCs w:val="22"/>
        </w:rPr>
        <w:t>W przypadku rozliczania kosztów pośrednich z zastosowaniem uproszczonych metod obowiązuje zakaz podwójnego finansowania wydatków – rozliczenie tego samego wydatku w kosztach pośrednich oraz kosztach bezpośrednich projektu jest niedozwolone.</w:t>
      </w:r>
    </w:p>
    <w:p w14:paraId="250B737A" w14:textId="1203114C" w:rsidR="002E341E" w:rsidRDefault="002E341E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1ABB53F9" w14:textId="77777777" w:rsidR="00843D11" w:rsidRDefault="00843D11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4359DD19" w14:textId="139DE395" w:rsidR="00025329" w:rsidRPr="00025329" w:rsidRDefault="00025329" w:rsidP="00210E35">
      <w:pPr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025329">
        <w:rPr>
          <w:rFonts w:cs="Calibri"/>
          <w:b/>
        </w:rPr>
        <w:t>4.1. WYLICZENIE KOSZTÓW ROZLICZANYCH W RAMACH STAWKI RYCZAŁTOWEJ</w:t>
      </w:r>
    </w:p>
    <w:p w14:paraId="6983D063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00DE4AAC" w14:textId="1149DF60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Wysokość </w:t>
      </w:r>
      <w:r w:rsidR="00B9633E">
        <w:rPr>
          <w:rFonts w:cs="Calibri"/>
        </w:rPr>
        <w:t xml:space="preserve">kwalifikowalnych </w:t>
      </w:r>
      <w:r w:rsidRPr="007C5B38">
        <w:rPr>
          <w:rFonts w:cs="Calibri"/>
        </w:rPr>
        <w:t xml:space="preserve">kosztów </w:t>
      </w:r>
      <w:r>
        <w:rPr>
          <w:rFonts w:cs="Calibri"/>
        </w:rPr>
        <w:t xml:space="preserve">pośrednich </w:t>
      </w:r>
      <w:r w:rsidRPr="007C5B38">
        <w:rPr>
          <w:rFonts w:cs="Calibri"/>
        </w:rPr>
        <w:t xml:space="preserve">rozliczanych w ramach stawki ryczałtowej </w:t>
      </w:r>
      <w:r>
        <w:rPr>
          <w:rFonts w:cs="Calibri"/>
        </w:rPr>
        <w:t>we wniosku o</w:t>
      </w:r>
      <w:r w:rsidR="00025329">
        <w:rPr>
          <w:rFonts w:cs="Calibri"/>
        </w:rPr>
        <w:t> </w:t>
      </w:r>
      <w:r>
        <w:rPr>
          <w:rFonts w:cs="Calibri"/>
        </w:rPr>
        <w:t xml:space="preserve">dofinansowanie określa się </w:t>
      </w:r>
      <w:r w:rsidRPr="007C5B38">
        <w:rPr>
          <w:rFonts w:cs="Calibri"/>
        </w:rPr>
        <w:t>wg następującego wzoru:</w:t>
      </w:r>
    </w:p>
    <w:p w14:paraId="6AE360C1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3003B5C4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A = </w:t>
      </w:r>
      <w:r>
        <w:rPr>
          <w:rFonts w:cs="Calibri"/>
        </w:rPr>
        <w:t xml:space="preserve">% </w:t>
      </w:r>
      <w:r w:rsidRPr="007C5B38">
        <w:rPr>
          <w:rFonts w:cs="Calibri"/>
        </w:rPr>
        <w:t>stawka x C</w:t>
      </w:r>
    </w:p>
    <w:p w14:paraId="1960E391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3506F077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gdzie:</w:t>
      </w:r>
    </w:p>
    <w:p w14:paraId="6643E74F" w14:textId="144A04DA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A – </w:t>
      </w:r>
      <w:r w:rsidR="00B9633E">
        <w:rPr>
          <w:rFonts w:cs="Calibri"/>
        </w:rPr>
        <w:t xml:space="preserve">kwalifikowalne </w:t>
      </w:r>
      <w:r w:rsidRPr="007C5B38">
        <w:rPr>
          <w:rFonts w:cs="Calibri"/>
        </w:rPr>
        <w:t xml:space="preserve">koszty </w:t>
      </w:r>
      <w:r>
        <w:rPr>
          <w:rFonts w:cs="Calibri"/>
        </w:rPr>
        <w:t xml:space="preserve">pośrednie </w:t>
      </w:r>
      <w:r w:rsidRPr="007C5B38">
        <w:rPr>
          <w:rFonts w:cs="Calibri"/>
        </w:rPr>
        <w:t>rozliczane w ramach stawki ryczałtowej</w:t>
      </w:r>
    </w:p>
    <w:p w14:paraId="560DB8FC" w14:textId="04783BE1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% </w:t>
      </w:r>
      <w:r w:rsidRPr="007C5B38">
        <w:rPr>
          <w:rFonts w:cs="Calibri"/>
        </w:rPr>
        <w:t>stawka –</w:t>
      </w:r>
      <w:r w:rsidR="009350A5">
        <w:rPr>
          <w:rFonts w:cs="Calibri"/>
        </w:rPr>
        <w:t xml:space="preserve"> </w:t>
      </w:r>
      <w:r w:rsidRPr="007C5B38">
        <w:rPr>
          <w:rFonts w:cs="Calibri"/>
        </w:rPr>
        <w:t>wysokość stawki ryczałtowej wyrażon</w:t>
      </w:r>
      <w:r>
        <w:rPr>
          <w:rFonts w:cs="Calibri"/>
        </w:rPr>
        <w:t>a</w:t>
      </w:r>
      <w:r w:rsidRPr="007C5B38">
        <w:rPr>
          <w:rFonts w:cs="Calibri"/>
        </w:rPr>
        <w:t xml:space="preserve"> w procentach</w:t>
      </w:r>
      <w:r>
        <w:rPr>
          <w:rFonts w:cs="Calibri"/>
        </w:rPr>
        <w:t>, określona w naborze</w:t>
      </w:r>
    </w:p>
    <w:p w14:paraId="677E7BFA" w14:textId="77777777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C – </w:t>
      </w:r>
      <w:r>
        <w:rPr>
          <w:rFonts w:cs="Calibri"/>
        </w:rPr>
        <w:t>wydatki kwalifikowalne</w:t>
      </w:r>
      <w:r w:rsidRPr="007C5B38">
        <w:rPr>
          <w:rFonts w:cs="Calibri"/>
        </w:rPr>
        <w:t xml:space="preserve"> rozliczane metodą bezpośrednią</w:t>
      </w:r>
      <w:r>
        <w:rPr>
          <w:rFonts w:cs="Calibri"/>
        </w:rPr>
        <w:t>,</w:t>
      </w:r>
      <w:r w:rsidRPr="007C5B38">
        <w:rPr>
          <w:rFonts w:cs="Calibri"/>
        </w:rPr>
        <w:t xml:space="preserve"> stanowiące podstawę wyliczenia stawki ryczałtowej</w:t>
      </w:r>
    </w:p>
    <w:p w14:paraId="7A671D41" w14:textId="77777777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60DA34FB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843D11">
        <w:rPr>
          <w:rFonts w:cs="Calibri"/>
        </w:rPr>
        <w:t>Wynik należy zaokrąglić zgodnie z regułą matematyczną („5” na trzecim miejscu po przecinku zaokrąglana jest w górę).</w:t>
      </w:r>
    </w:p>
    <w:p w14:paraId="2E2F7074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6CF9E1DD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Jednocześnie łączna wartość </w:t>
      </w:r>
      <w:r>
        <w:rPr>
          <w:rFonts w:cs="Calibri"/>
        </w:rPr>
        <w:t xml:space="preserve">wydatków </w:t>
      </w:r>
      <w:r w:rsidRPr="007C5B38">
        <w:rPr>
          <w:rFonts w:cs="Calibri"/>
        </w:rPr>
        <w:t>kwalifikowalnych projektu będzie miała 3 składowe:</w:t>
      </w:r>
    </w:p>
    <w:p w14:paraId="6AA50713" w14:textId="77777777" w:rsidR="00843D11" w:rsidRDefault="00843D11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3E108400" w14:textId="43DC047D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K = A +B + C</w:t>
      </w:r>
    </w:p>
    <w:p w14:paraId="1AA4CAB2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3F00C836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gdzie:</w:t>
      </w:r>
    </w:p>
    <w:p w14:paraId="1C0D8647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K – łączna wartość </w:t>
      </w:r>
      <w:r>
        <w:rPr>
          <w:rFonts w:cs="Calibri"/>
        </w:rPr>
        <w:t xml:space="preserve">wydatków </w:t>
      </w:r>
      <w:r w:rsidRPr="007C5B38">
        <w:rPr>
          <w:rFonts w:cs="Calibri"/>
        </w:rPr>
        <w:t>kwalifikowalnych w ramach projektu</w:t>
      </w:r>
    </w:p>
    <w:p w14:paraId="4DE51048" w14:textId="37336886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 xml:space="preserve">A – </w:t>
      </w:r>
      <w:r w:rsidR="00B9633E">
        <w:rPr>
          <w:rFonts w:cs="Calibri"/>
        </w:rPr>
        <w:t xml:space="preserve">kwalifikowalne </w:t>
      </w:r>
      <w:r w:rsidRPr="007C5B38">
        <w:rPr>
          <w:rFonts w:cs="Calibri"/>
        </w:rPr>
        <w:t xml:space="preserve">koszty </w:t>
      </w:r>
      <w:r>
        <w:rPr>
          <w:rFonts w:cs="Calibri"/>
        </w:rPr>
        <w:t xml:space="preserve">pośrednie </w:t>
      </w:r>
      <w:r w:rsidRPr="007C5B38">
        <w:rPr>
          <w:rFonts w:cs="Calibri"/>
        </w:rPr>
        <w:t>rozliczane w ramach stawki ryczałtowej</w:t>
      </w:r>
    </w:p>
    <w:p w14:paraId="67AE86BA" w14:textId="2B30917D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t>B –</w:t>
      </w:r>
      <w:r w:rsidR="009350A5">
        <w:rPr>
          <w:rFonts w:cs="Calibri"/>
        </w:rPr>
        <w:t xml:space="preserve"> </w:t>
      </w:r>
      <w:r>
        <w:rPr>
          <w:rFonts w:cs="Calibri"/>
        </w:rPr>
        <w:t xml:space="preserve">wydatki kwalifikowalne </w:t>
      </w:r>
      <w:r w:rsidRPr="007C5B38">
        <w:rPr>
          <w:rFonts w:cs="Calibri"/>
        </w:rPr>
        <w:t>rozliczane metodą bezpośrednią nie stanowiące podstawy wyliczenia stawki ryczałtowej</w:t>
      </w:r>
    </w:p>
    <w:p w14:paraId="2D736EFB" w14:textId="014A3165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7C5B38">
        <w:rPr>
          <w:rFonts w:cs="Calibri"/>
        </w:rPr>
        <w:lastRenderedPageBreak/>
        <w:t>C –</w:t>
      </w:r>
      <w:r w:rsidR="009350A5">
        <w:rPr>
          <w:rFonts w:cs="Calibri"/>
        </w:rPr>
        <w:t xml:space="preserve"> </w:t>
      </w:r>
      <w:r>
        <w:rPr>
          <w:rFonts w:cs="Calibri"/>
        </w:rPr>
        <w:t xml:space="preserve">wydatki kwalifikowalne </w:t>
      </w:r>
      <w:r w:rsidRPr="007C5B38">
        <w:rPr>
          <w:rFonts w:cs="Calibri"/>
        </w:rPr>
        <w:t>rozliczane metodą bezpośrednią stanowiące podstawę wyliczenia stawki ryczałtowej</w:t>
      </w:r>
      <w:r>
        <w:rPr>
          <w:rFonts w:cs="Calibri"/>
        </w:rPr>
        <w:t xml:space="preserve"> </w:t>
      </w:r>
    </w:p>
    <w:p w14:paraId="40754BC1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D11" w14:paraId="0EF3B562" w14:textId="77777777" w:rsidTr="00843D11">
        <w:tc>
          <w:tcPr>
            <w:tcW w:w="9062" w:type="dxa"/>
          </w:tcPr>
          <w:p w14:paraId="368221D5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Przykład:</w:t>
            </w:r>
          </w:p>
          <w:p w14:paraId="3958A8D1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19513BDC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 obejmuje następujące kategorie kosztów:</w:t>
            </w:r>
          </w:p>
          <w:p w14:paraId="5C7229E8" w14:textId="77777777" w:rsidR="00843D11" w:rsidRDefault="00843D11" w:rsidP="00843D11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kwalifikowalne prace budowlane o wartości 800 tys. PLN</w:t>
            </w:r>
          </w:p>
          <w:p w14:paraId="22BE91F5" w14:textId="77777777" w:rsidR="00843D11" w:rsidRDefault="00843D11" w:rsidP="00843D11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kwalifikowalny zakup środków trwałych o wartości 200 tys. PLN</w:t>
            </w:r>
          </w:p>
          <w:p w14:paraId="03F23455" w14:textId="77777777" w:rsidR="00843D11" w:rsidRDefault="00843D11" w:rsidP="00843D11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kwalifikowalne koszty podwykonawstwa o wartości 50 tys. PLN</w:t>
            </w:r>
          </w:p>
          <w:p w14:paraId="7DCE4990" w14:textId="77777777" w:rsidR="00843D11" w:rsidRDefault="00843D11" w:rsidP="00843D11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stawka ryczałtowa w wysokości 10% jaką należy zastosować do wyliczenia wysokości kosztów pośrednich w projekcie (zgodnie z Regulaminem Konkursu)</w:t>
            </w:r>
          </w:p>
          <w:p w14:paraId="6DE90B5A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20656738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Koszty pośrednie będą wyliczone wg następującego wzoru:</w:t>
            </w:r>
          </w:p>
          <w:p w14:paraId="6D359BFE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3CAE5882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A= 10% x (800 000 PLN + 200 000 PLN) = 100 000 PLN</w:t>
            </w:r>
          </w:p>
          <w:p w14:paraId="0786492C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45B1DD93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Budżet projektu będzie się prezentował następująco:</w:t>
            </w:r>
          </w:p>
          <w:p w14:paraId="538E19E8" w14:textId="77777777" w:rsidR="00843D11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4433"/>
              <w:gridCol w:w="4403"/>
            </w:tblGrid>
            <w:tr w:rsidR="00843D11" w14:paraId="7312329B" w14:textId="77777777" w:rsidTr="00F67081">
              <w:tc>
                <w:tcPr>
                  <w:tcW w:w="4606" w:type="dxa"/>
                </w:tcPr>
                <w:p w14:paraId="0D84BA64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Prace budowlane </w:t>
                  </w:r>
                  <w:r w:rsidRPr="00697B5E">
                    <w:rPr>
                      <w:rFonts w:ascii="Calibri" w:hAnsi="Calibri" w:cs="Calibri"/>
                    </w:rPr>
                    <w:t>(rozliczane na podstawie rzeczywiście poniesionych wydatków)</w:t>
                  </w:r>
                </w:p>
              </w:tc>
              <w:tc>
                <w:tcPr>
                  <w:tcW w:w="4606" w:type="dxa"/>
                </w:tcPr>
                <w:p w14:paraId="37EF5164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  800 000,00 PLN</w:t>
                  </w:r>
                </w:p>
              </w:tc>
            </w:tr>
            <w:tr w:rsidR="00843D11" w14:paraId="6194C67F" w14:textId="77777777" w:rsidTr="00F67081">
              <w:tc>
                <w:tcPr>
                  <w:tcW w:w="4606" w:type="dxa"/>
                </w:tcPr>
                <w:p w14:paraId="1C2C56E0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Środki trwałe </w:t>
                  </w:r>
                  <w:r w:rsidRPr="00697B5E">
                    <w:rPr>
                      <w:rFonts w:ascii="Calibri" w:hAnsi="Calibri" w:cs="Calibri"/>
                    </w:rPr>
                    <w:t>(rozliczane na podstawie rzeczywiście poniesionych wydatków)</w:t>
                  </w:r>
                </w:p>
              </w:tc>
              <w:tc>
                <w:tcPr>
                  <w:tcW w:w="4606" w:type="dxa"/>
                </w:tcPr>
                <w:p w14:paraId="6C0D9EDF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  200 000,00</w:t>
                  </w:r>
                  <w:r w:rsidRPr="00E104BA">
                    <w:rPr>
                      <w:rFonts w:ascii="Calibri" w:hAnsi="Calibri" w:cs="Calibri"/>
                    </w:rPr>
                    <w:t xml:space="preserve"> PLN</w:t>
                  </w:r>
                </w:p>
              </w:tc>
            </w:tr>
            <w:tr w:rsidR="00843D11" w14:paraId="2E3C7CAE" w14:textId="77777777" w:rsidTr="00F67081">
              <w:tc>
                <w:tcPr>
                  <w:tcW w:w="4606" w:type="dxa"/>
                </w:tcPr>
                <w:p w14:paraId="238FEF26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Zlecone usługi podwykonawstwa (rozliczane na podstawie rzeczywiście poniesionych wydatków)</w:t>
                  </w:r>
                </w:p>
              </w:tc>
              <w:tc>
                <w:tcPr>
                  <w:tcW w:w="4606" w:type="dxa"/>
                </w:tcPr>
                <w:p w14:paraId="63D645B1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    50 000,00</w:t>
                  </w:r>
                  <w:r w:rsidRPr="00E104BA">
                    <w:rPr>
                      <w:rFonts w:ascii="Calibri" w:hAnsi="Calibri" w:cs="Calibri"/>
                    </w:rPr>
                    <w:t xml:space="preserve"> PLN</w:t>
                  </w:r>
                </w:p>
              </w:tc>
            </w:tr>
            <w:tr w:rsidR="00843D11" w14:paraId="6253D087" w14:textId="77777777" w:rsidTr="00F67081">
              <w:tc>
                <w:tcPr>
                  <w:tcW w:w="4606" w:type="dxa"/>
                </w:tcPr>
                <w:p w14:paraId="6187EFD5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Koszty pośrednie (objęte stawką ryczałtową)</w:t>
                  </w:r>
                </w:p>
              </w:tc>
              <w:tc>
                <w:tcPr>
                  <w:tcW w:w="4606" w:type="dxa"/>
                </w:tcPr>
                <w:p w14:paraId="3708A94D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  100 000,00</w:t>
                  </w:r>
                  <w:r w:rsidRPr="00E104BA">
                    <w:rPr>
                      <w:rFonts w:ascii="Calibri" w:hAnsi="Calibri" w:cs="Calibri"/>
                    </w:rPr>
                    <w:t xml:space="preserve"> PLN</w:t>
                  </w:r>
                </w:p>
              </w:tc>
            </w:tr>
            <w:tr w:rsidR="00843D11" w14:paraId="4DD6EC8C" w14:textId="77777777" w:rsidTr="00F67081">
              <w:tc>
                <w:tcPr>
                  <w:tcW w:w="4606" w:type="dxa"/>
                </w:tcPr>
                <w:p w14:paraId="4473B7EA" w14:textId="75D390D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Razem</w:t>
                  </w:r>
                  <w:r w:rsidR="00B9633E">
                    <w:rPr>
                      <w:rFonts w:ascii="Calibri" w:hAnsi="Calibri" w:cs="Calibri"/>
                    </w:rPr>
                    <w:t xml:space="preserve"> wydatki kwalifikowalne projektu</w:t>
                  </w:r>
                </w:p>
              </w:tc>
              <w:tc>
                <w:tcPr>
                  <w:tcW w:w="4606" w:type="dxa"/>
                </w:tcPr>
                <w:p w14:paraId="266362ED" w14:textId="77777777" w:rsidR="00843D11" w:rsidRDefault="00843D11" w:rsidP="00843D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1 150 000,00</w:t>
                  </w:r>
                  <w:r w:rsidRPr="00E104BA">
                    <w:rPr>
                      <w:rFonts w:ascii="Calibri" w:hAnsi="Calibri" w:cs="Calibri"/>
                    </w:rPr>
                    <w:t xml:space="preserve"> PLN</w:t>
                  </w:r>
                </w:p>
              </w:tc>
            </w:tr>
          </w:tbl>
          <w:p w14:paraId="493D9784" w14:textId="77777777" w:rsidR="00843D11" w:rsidRPr="00747ED9" w:rsidRDefault="00843D11" w:rsidP="00843D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Uwaga: dla uproszczenia wyliczeń pominięto koszty niekwalifikowalne, które nie są brane pod uwagę przy wyliczaniu  kosztów pośrednich.</w:t>
            </w:r>
          </w:p>
          <w:p w14:paraId="43B196D1" w14:textId="77777777" w:rsidR="00843D11" w:rsidRDefault="00843D11" w:rsidP="00526548">
            <w:pPr>
              <w:autoSpaceDE w:val="0"/>
              <w:autoSpaceDN w:val="0"/>
              <w:adjustRightInd w:val="0"/>
              <w:jc w:val="both"/>
              <w:rPr>
                <w:rStyle w:val="Odwoaniedokomentarza"/>
              </w:rPr>
            </w:pPr>
          </w:p>
        </w:tc>
      </w:tr>
    </w:tbl>
    <w:p w14:paraId="56DEED21" w14:textId="6AA47221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Style w:val="Odwoaniedokomentarza"/>
        </w:rPr>
      </w:pPr>
    </w:p>
    <w:p w14:paraId="41BB3DEB" w14:textId="77777777" w:rsidR="00FA2DCA" w:rsidRDefault="00FA2DCA" w:rsidP="00526548">
      <w:pPr>
        <w:autoSpaceDE w:val="0"/>
        <w:autoSpaceDN w:val="0"/>
        <w:adjustRightInd w:val="0"/>
        <w:spacing w:after="0"/>
        <w:jc w:val="both"/>
        <w:rPr>
          <w:rStyle w:val="Odwoaniedokomentarza"/>
        </w:rPr>
      </w:pPr>
    </w:p>
    <w:p w14:paraId="273757B2" w14:textId="77777777" w:rsidR="00FA2DCA" w:rsidRDefault="00FA2DCA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413BF2C4" w14:textId="07EB9D95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Ustalenie kwoty dofinansowania dla projektu i dla kategorii kosztów pośrednich odbywa się w sposób analogiczny, jak w przypadku projektów, w których wszystkie wydatki kwalifikowalne są rozliczane w</w:t>
      </w:r>
      <w:r w:rsidR="00E36E16">
        <w:rPr>
          <w:rFonts w:cs="Calibri"/>
        </w:rPr>
        <w:t> </w:t>
      </w:r>
      <w:r>
        <w:rPr>
          <w:rFonts w:cs="Calibri"/>
        </w:rPr>
        <w:t>oparciu o wydatki rzeczywiście poniesione i udokumentowane we wnioskach o płatność.</w:t>
      </w:r>
    </w:p>
    <w:p w14:paraId="33DD12A2" w14:textId="77777777" w:rsidR="00526548" w:rsidRPr="007C5B3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4320AAFE" w14:textId="7C944C9E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Na etapie oceny wniosku o dofinansowanie sprawdzeniu przez IZ RPO WD/IP podlega prawidłowość ustalenia przez Wnioskodawcę wysokości kosztów pośrednich (tj. czy prawidłowo przyjęto % stawkę ryczałtową, wysokość kosztów bezpośrednich stanowiących podstawę wyliczenia kosztów pośrednich).</w:t>
      </w:r>
      <w:r w:rsidR="00025329">
        <w:rPr>
          <w:rFonts w:cs="Calibri"/>
        </w:rPr>
        <w:t xml:space="preserve"> </w:t>
      </w:r>
      <w:r>
        <w:rPr>
          <w:rFonts w:cs="Calibri"/>
        </w:rPr>
        <w:t>Jeżeli na etapie podpisywania umowy</w:t>
      </w:r>
      <w:r w:rsidR="009350A5">
        <w:rPr>
          <w:rFonts w:cs="Calibri"/>
        </w:rPr>
        <w:t xml:space="preserve">/porozumienia/podjęcia decyzji </w:t>
      </w:r>
      <w:r>
        <w:rPr>
          <w:rFonts w:cs="Calibri"/>
        </w:rPr>
        <w:t>o dofinansowanie</w:t>
      </w:r>
      <w:r w:rsidR="009350A5">
        <w:rPr>
          <w:rFonts w:cs="Calibri"/>
        </w:rPr>
        <w:t xml:space="preserve"> </w:t>
      </w:r>
      <w:r>
        <w:rPr>
          <w:rFonts w:cs="Calibri"/>
        </w:rPr>
        <w:t xml:space="preserve">projektu/realizacji projektu nastąpi zmiana wysokości bezpośrednich wydatków kwalifikowalnych projektu będących podstawą do wyliczenia wysokości kosztów pośrednich, IZ RPO WD/IP RPO WD dokonuje w sposób analogiczny przeliczenia wysokości kosztów pośrednich (% stawki ryczałtowej pozostaje bez zmian). </w:t>
      </w:r>
    </w:p>
    <w:p w14:paraId="574C9974" w14:textId="77777777" w:rsidR="00526548" w:rsidRDefault="00526548" w:rsidP="00526548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4BE60076" w14:textId="1A4FED04" w:rsidR="007A0112" w:rsidRDefault="00526548" w:rsidP="007A0112">
      <w:pPr>
        <w:spacing w:before="120" w:after="120"/>
        <w:jc w:val="both"/>
      </w:pPr>
      <w:r>
        <w:rPr>
          <w:rFonts w:cs="Calibri"/>
        </w:rPr>
        <w:t>Koszty pośrednie</w:t>
      </w:r>
      <w:r w:rsidRPr="00D6194C">
        <w:rPr>
          <w:rFonts w:cs="Calibri"/>
        </w:rPr>
        <w:t xml:space="preserve"> rozliczane uproszczoną metodą są traktowane jako wydatki poniesione. Nie ma obowiązku gromadzenia ani opisywania dokumentów księgowych w ramach projektu na pot</w:t>
      </w:r>
      <w:r>
        <w:rPr>
          <w:rFonts w:cs="Calibri"/>
        </w:rPr>
        <w:t>wierdzenie ich poniesienia</w:t>
      </w:r>
      <w:r w:rsidRPr="00D6194C">
        <w:rPr>
          <w:rFonts w:cs="Calibri"/>
        </w:rPr>
        <w:t>.</w:t>
      </w:r>
      <w:r>
        <w:rPr>
          <w:rFonts w:cs="Calibri"/>
        </w:rPr>
        <w:t xml:space="preserve"> W związku z tym na etapie weryfikacji wniosków o płatność oraz </w:t>
      </w:r>
      <w:r>
        <w:rPr>
          <w:rFonts w:cs="Calibri"/>
        </w:rPr>
        <w:lastRenderedPageBreak/>
        <w:t>w</w:t>
      </w:r>
      <w:r w:rsidR="00E36E16">
        <w:rPr>
          <w:rFonts w:cs="Calibri"/>
        </w:rPr>
        <w:t> </w:t>
      </w:r>
      <w:r>
        <w:rPr>
          <w:rFonts w:cs="Calibri"/>
        </w:rPr>
        <w:t>trakcie kontroli na miejscu nie podlegają one sprawdzeniu. Koszty pośrednie w poszczególnych wnioskach o płatność będą rozliczane proporcjonalnie do wykazanych w tych wnioskach o płatność bezpośrednich wydatków kwalifikowalnych stanowiących podstawę do określenia wysokości kosztów pośrednich</w:t>
      </w:r>
      <w:r w:rsidR="00696403">
        <w:rPr>
          <w:rFonts w:cs="Calibri"/>
        </w:rPr>
        <w:t xml:space="preserve"> </w:t>
      </w:r>
      <w:r>
        <w:rPr>
          <w:rFonts w:cs="Calibri"/>
        </w:rPr>
        <w:t xml:space="preserve">. </w:t>
      </w:r>
      <w:r w:rsidR="007A0112">
        <w:t>W związku z powyższym nie dopuszcza się pobierania płatności zaliczkowych wyłącznie na pokrycie kosztów pośrednich w projekcie.</w:t>
      </w:r>
      <w:r w:rsidR="007A0112" w:rsidRPr="000413D2">
        <w:t xml:space="preserve"> </w:t>
      </w:r>
      <w:r w:rsidR="007A0112" w:rsidRPr="003518EF">
        <w:t>Koszty pośrednie mogą natomiast stanowić rozliczenie pobranej zaliczki, ale pod warunkiem, że Beneficjent jednocześnie wykazał we wniosku o płatność kwalifikowalne koszty bezpośrednie stanowiące podstawę wyliczenia stawki ryczałtowej</w:t>
      </w:r>
      <w:r w:rsidR="007A0112" w:rsidRPr="00FF5D5D">
        <w:t>.</w:t>
      </w:r>
    </w:p>
    <w:p w14:paraId="074466E8" w14:textId="77777777" w:rsidR="003636F1" w:rsidRPr="00145251" w:rsidRDefault="003636F1" w:rsidP="007A0112">
      <w:pPr>
        <w:spacing w:before="120" w:after="120"/>
        <w:jc w:val="both"/>
        <w:rPr>
          <w:rFonts w:cs="Calibri"/>
        </w:rPr>
      </w:pPr>
    </w:p>
    <w:p w14:paraId="30A7E669" w14:textId="0DCD25DF" w:rsidR="00025329" w:rsidRDefault="00526548" w:rsidP="00025329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Na etapie rozliczania projektu w</w:t>
      </w:r>
      <w:r w:rsidRPr="00813F7F">
        <w:rPr>
          <w:rFonts w:cs="Calibri"/>
        </w:rPr>
        <w:t>eryfikacja kosztów</w:t>
      </w:r>
      <w:r>
        <w:rPr>
          <w:rFonts w:cs="Calibri"/>
        </w:rPr>
        <w:t xml:space="preserve"> pośrednich</w:t>
      </w:r>
      <w:r w:rsidRPr="00813F7F">
        <w:rPr>
          <w:rFonts w:cs="Calibri"/>
        </w:rPr>
        <w:t xml:space="preserve"> rozliczanych za pomocą stawek ryczałtowych polega na sprawdzeniu, czy </w:t>
      </w:r>
      <w:r w:rsidR="009350A5">
        <w:rPr>
          <w:rFonts w:cs="Calibri"/>
        </w:rPr>
        <w:t>B</w:t>
      </w:r>
      <w:r w:rsidRPr="00813F7F">
        <w:rPr>
          <w:rFonts w:cs="Calibri"/>
        </w:rPr>
        <w:t xml:space="preserve">eneficjent prawidłowo zastosował </w:t>
      </w:r>
      <w:r>
        <w:rPr>
          <w:rFonts w:cs="Calibri"/>
        </w:rPr>
        <w:t>% stawki ryczałtowej</w:t>
      </w:r>
      <w:r w:rsidRPr="00813F7F">
        <w:rPr>
          <w:rFonts w:cs="Calibri"/>
        </w:rPr>
        <w:t xml:space="preserve"> wynikając</w:t>
      </w:r>
      <w:r>
        <w:rPr>
          <w:rFonts w:cs="Calibri"/>
        </w:rPr>
        <w:t>y</w:t>
      </w:r>
      <w:r w:rsidRPr="00813F7F">
        <w:rPr>
          <w:rFonts w:cs="Calibri"/>
        </w:rPr>
        <w:t xml:space="preserve"> z </w:t>
      </w:r>
      <w:r>
        <w:rPr>
          <w:rFonts w:cs="Calibri"/>
        </w:rPr>
        <w:t>umowy</w:t>
      </w:r>
      <w:r w:rsidR="009350A5">
        <w:rPr>
          <w:rFonts w:cs="Calibri"/>
        </w:rPr>
        <w:t>/porozumienia/decyzji</w:t>
      </w:r>
      <w:r>
        <w:rPr>
          <w:rFonts w:cs="Calibri"/>
        </w:rPr>
        <w:t xml:space="preserve"> o dofinansowani</w:t>
      </w:r>
      <w:r w:rsidR="009350A5">
        <w:rPr>
          <w:rFonts w:cs="Calibri"/>
        </w:rPr>
        <w:t>u</w:t>
      </w:r>
      <w:r>
        <w:rPr>
          <w:rFonts w:cs="Calibri"/>
        </w:rPr>
        <w:t xml:space="preserve"> projektu, </w:t>
      </w:r>
      <w:r w:rsidRPr="00813F7F">
        <w:rPr>
          <w:rFonts w:cs="Calibri"/>
        </w:rPr>
        <w:t>czy prawidłowo wykazał kwotę wydatków</w:t>
      </w:r>
      <w:r>
        <w:rPr>
          <w:rFonts w:cs="Calibri"/>
        </w:rPr>
        <w:t xml:space="preserve"> kwalifikowalnych </w:t>
      </w:r>
      <w:r w:rsidRPr="00813F7F">
        <w:rPr>
          <w:rFonts w:cs="Calibri"/>
        </w:rPr>
        <w:t xml:space="preserve">będącą podstawą wyliczenia </w:t>
      </w:r>
      <w:r>
        <w:rPr>
          <w:rFonts w:cs="Calibri"/>
        </w:rPr>
        <w:t xml:space="preserve">kosztów pośrednich oraz czy rozliczane w danym wniosku o płatność koszty pośrednie nie przekraczają kwot (wydatków kwalifikowalnych, dofinansowania) wskazanych w </w:t>
      </w:r>
      <w:r w:rsidRPr="00843D11">
        <w:rPr>
          <w:rFonts w:cs="Calibri"/>
        </w:rPr>
        <w:t>umowie</w:t>
      </w:r>
      <w:r w:rsidR="00843D11" w:rsidRPr="00696403">
        <w:rPr>
          <w:rFonts w:cs="Calibri"/>
        </w:rPr>
        <w:t>/</w:t>
      </w:r>
      <w:r w:rsidR="009350A5" w:rsidRPr="00843D11">
        <w:rPr>
          <w:rFonts w:cs="Calibri"/>
        </w:rPr>
        <w:t>porozumieniu</w:t>
      </w:r>
      <w:r w:rsidR="009350A5">
        <w:rPr>
          <w:rFonts w:cs="Calibri"/>
        </w:rPr>
        <w:t>/decyzji</w:t>
      </w:r>
      <w:r>
        <w:rPr>
          <w:rFonts w:cs="Calibri"/>
        </w:rPr>
        <w:t xml:space="preserve"> o dofinansowani</w:t>
      </w:r>
      <w:r w:rsidR="00C06A2E">
        <w:rPr>
          <w:rFonts w:cs="Calibri"/>
        </w:rPr>
        <w:t>u</w:t>
      </w:r>
      <w:r>
        <w:rPr>
          <w:rFonts w:cs="Calibri"/>
        </w:rPr>
        <w:t xml:space="preserve"> projektu</w:t>
      </w:r>
      <w:r w:rsidRPr="00813F7F">
        <w:rPr>
          <w:rFonts w:cs="Calibri"/>
        </w:rPr>
        <w:t>.</w:t>
      </w:r>
      <w:r>
        <w:rPr>
          <w:rFonts w:cs="Calibri"/>
        </w:rPr>
        <w:t xml:space="preserve"> </w:t>
      </w:r>
      <w:r w:rsidRPr="00813F7F">
        <w:rPr>
          <w:rFonts w:cs="Calibri"/>
        </w:rPr>
        <w:t xml:space="preserve">Jeśli </w:t>
      </w:r>
      <w:r>
        <w:rPr>
          <w:rFonts w:cs="Calibri"/>
        </w:rPr>
        <w:t xml:space="preserve">na etapie realizacji projektu oraz w trakcie jego trwałości dojdzie do zmiany wysokości bezpośrednich wydatków kwalifikowalnych projektu stanowiących podstawę do wyliczenia kosztów pośrednich (np. ulegną obniżeniu na skutek powstania oszczędności poprzetargowych, zastosowania korekt finansowych, reguły proporcjonalności z tytułu niezrealizowania wskaźników w projekcie), wówczas konieczne jest ponowne ustalenie wysokości kosztów pośrednich w projekcie (przy zachowaniu tego samego % stawki ryczałtowej). Nie wyklucza się wystąpienia sytuacji w której Beneficjent będzie zobligowany do zwrotu środków nienależnie pobranych wraz z odsetkami liczonymi jak dla zaległości podatkowych. </w:t>
      </w:r>
    </w:p>
    <w:p w14:paraId="6BEE275C" w14:textId="77777777" w:rsidR="007A0112" w:rsidRPr="00025329" w:rsidRDefault="007A0112" w:rsidP="00025329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sectPr w:rsidR="007A0112" w:rsidRPr="00025329" w:rsidSect="005207CF">
      <w:footerReference w:type="defaul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D2057" w14:textId="77777777" w:rsidR="00321E4D" w:rsidRDefault="00321E4D" w:rsidP="00BA376B">
      <w:pPr>
        <w:spacing w:after="0" w:line="240" w:lineRule="auto"/>
      </w:pPr>
      <w:r>
        <w:separator/>
      </w:r>
    </w:p>
  </w:endnote>
  <w:endnote w:type="continuationSeparator" w:id="0">
    <w:p w14:paraId="26067CFF" w14:textId="77777777" w:rsidR="00321E4D" w:rsidRDefault="00321E4D" w:rsidP="00BA376B">
      <w:pPr>
        <w:spacing w:after="0" w:line="240" w:lineRule="auto"/>
      </w:pPr>
      <w:r>
        <w:continuationSeparator/>
      </w:r>
    </w:p>
  </w:endnote>
  <w:endnote w:id="1">
    <w:p w14:paraId="2167BA8C" w14:textId="77777777" w:rsidR="00321E4D" w:rsidRPr="002D3C6C" w:rsidRDefault="00321E4D" w:rsidP="00C5419D">
      <w:pPr>
        <w:pStyle w:val="Tekstprzypisukocowego"/>
        <w:jc w:val="both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ABE920t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732661"/>
      <w:docPartObj>
        <w:docPartGallery w:val="Page Numbers (Bottom of Page)"/>
        <w:docPartUnique/>
      </w:docPartObj>
    </w:sdtPr>
    <w:sdtEndPr/>
    <w:sdtContent>
      <w:p w14:paraId="5C24B8A9" w14:textId="77777777" w:rsidR="00321E4D" w:rsidRDefault="00321E4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B0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7CD0E61" w14:textId="77777777" w:rsidR="00321E4D" w:rsidRDefault="00321E4D" w:rsidP="00DC41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5AAD3" w14:textId="77777777" w:rsidR="00321E4D" w:rsidRDefault="00321E4D" w:rsidP="00BA376B">
      <w:pPr>
        <w:spacing w:after="0" w:line="240" w:lineRule="auto"/>
      </w:pPr>
      <w:r>
        <w:separator/>
      </w:r>
    </w:p>
  </w:footnote>
  <w:footnote w:type="continuationSeparator" w:id="0">
    <w:p w14:paraId="64AAFC72" w14:textId="77777777" w:rsidR="00321E4D" w:rsidRDefault="00321E4D" w:rsidP="00BA376B">
      <w:pPr>
        <w:spacing w:after="0" w:line="240" w:lineRule="auto"/>
      </w:pPr>
      <w:r>
        <w:continuationSeparator/>
      </w:r>
    </w:p>
  </w:footnote>
  <w:footnote w:id="1">
    <w:p w14:paraId="5C176E82" w14:textId="0E901053" w:rsidR="00321E4D" w:rsidRPr="00013AFB" w:rsidRDefault="00321E4D" w:rsidP="00B211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13AFB">
        <w:t>Rozporządzenie Komisji (UE) 2017/1084 z dnia 14 czerwca 2017 r. zmieniające rozporządzenie (UE) nr 651/2014 w odniesieniu do pomocy na infrastrukturę portową i infrastrukturę portów lotniczych, progów powodujących obowiązek zgłoszenia pomocy na kulturę i zachowanie dziedzictwa kulturowego, pomocy na infrastrukturę sportową i wielofunkcyjną infrastrukturę rekreacyjną, a także programów regionalnej pomocy operacyjnej skierowanych do regionów najbardziej oddalonych oraz zmieniające rozporządzenie (UE) nr 702/2014 w</w:t>
      </w:r>
      <w:r>
        <w:t> </w:t>
      </w:r>
      <w:r w:rsidRPr="00013AFB">
        <w:t>odniesieniu do obliczania kosztów kwalifikowalnych (Dz. Urz. UE L 156/1 z 20.6.2017, s. 1).</w:t>
      </w:r>
    </w:p>
  </w:footnote>
  <w:footnote w:id="2">
    <w:p w14:paraId="09F75BDA" w14:textId="77777777" w:rsidR="00321E4D" w:rsidRDefault="00321E4D" w:rsidP="009E58A1">
      <w:pPr>
        <w:pStyle w:val="Tekstprzypisudolnego"/>
        <w:jc w:val="both"/>
      </w:pPr>
      <w:r w:rsidRPr="00C40B9D">
        <w:rPr>
          <w:rStyle w:val="Odwoanieprzypisudolnego"/>
        </w:rPr>
        <w:footnoteRef/>
      </w:r>
      <w:r w:rsidRPr="00C40B9D">
        <w:t xml:space="preserve"> </w:t>
      </w:r>
      <w:bookmarkStart w:id="7" w:name="_Hlk520108149"/>
      <w:r w:rsidRPr="00C40B9D">
        <w:t>W</w:t>
      </w:r>
      <w:r w:rsidRPr="009E58A1">
        <w:t xml:space="preserve"> Załączniku nr 6 do SZOOP – „</w:t>
      </w:r>
      <w:r w:rsidRPr="009E58A1">
        <w:rPr>
          <w:i/>
        </w:rPr>
        <w:t>Zasadach kwalifikowalności wydatków w RPO WD 2014-2020”</w:t>
      </w:r>
      <w:r w:rsidRPr="009E58A1">
        <w:t xml:space="preserve"> (przyjętym w dniu 14.09.2015 r.) a następnie w „</w:t>
      </w:r>
      <w:r w:rsidRPr="009E58A1">
        <w:rPr>
          <w:i/>
        </w:rPr>
        <w:t xml:space="preserve">Wytycznych programowych w zakresie kwalifikowalności wydatków finansowanych z Europejskiego Funduszu Rozwoju Regionalnego w ramach Regionalnego Programu Operacyjnego Województwa Dolnośląskiego 2014-2020”, </w:t>
      </w:r>
      <w:r w:rsidRPr="009E58A1">
        <w:t>które zastąpiły Załącznik nr 6 do SZOOP i</w:t>
      </w:r>
      <w:r w:rsidRPr="009E58A1">
        <w:rPr>
          <w:i/>
        </w:rPr>
        <w:t xml:space="preserve"> </w:t>
      </w:r>
      <w:r w:rsidRPr="009E58A1">
        <w:t>obowiązywały (od dnia 21.11.2016 r.) przed wprowadzeniem Załącznika nr 7 do SZOOP.</w:t>
      </w:r>
      <w:r>
        <w:rPr>
          <w:b/>
        </w:rPr>
        <w:t xml:space="preserve"> </w:t>
      </w:r>
      <w:bookmarkEnd w:id="7"/>
    </w:p>
  </w:footnote>
  <w:footnote w:id="3">
    <w:p w14:paraId="718B7FE0" w14:textId="77777777" w:rsidR="00321E4D" w:rsidRPr="00013AFB" w:rsidRDefault="00321E4D" w:rsidP="007F246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Termin umowa oznacza również inne dokumenty będące podstawą dofinansowania projektu, np. uchwałę czy porozumienie.</w:t>
      </w:r>
    </w:p>
    <w:p w14:paraId="0FB5B1BC" w14:textId="77777777" w:rsidR="00321E4D" w:rsidRPr="00013AFB" w:rsidRDefault="00321E4D" w:rsidP="00013AFB">
      <w:pPr>
        <w:pStyle w:val="Tekstprzypisudolnego"/>
        <w:jc w:val="both"/>
        <w:rPr>
          <w:b/>
        </w:rPr>
      </w:pPr>
    </w:p>
  </w:footnote>
  <w:footnote w:id="4">
    <w:p w14:paraId="4870286D" w14:textId="77777777" w:rsidR="00321E4D" w:rsidRPr="00013AFB" w:rsidRDefault="00321E4D" w:rsidP="009F303C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do dnia 26.10.2016 r. Dla pozostałych konkursów – zapis nieobowiązujący.</w:t>
      </w:r>
    </w:p>
    <w:p w14:paraId="11CBC11B" w14:textId="77777777" w:rsidR="00321E4D" w:rsidRPr="00013AFB" w:rsidRDefault="00321E4D">
      <w:pPr>
        <w:pStyle w:val="Tekstprzypisudolnego"/>
      </w:pPr>
    </w:p>
  </w:footnote>
  <w:footnote w:id="5">
    <w:p w14:paraId="53409FB5" w14:textId="77777777" w:rsidR="00321E4D" w:rsidRDefault="00321E4D" w:rsidP="00A476E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F13D7">
        <w:t>W przypadku rozliczania wydatku za pomocą stawki ryczałtowej – zastosowanie mają zapisy pkt. 4 UPROSZCZONE METODY ROZLICZANIA WYDATKÓW</w:t>
      </w:r>
      <w:r>
        <w:t>.</w:t>
      </w:r>
    </w:p>
  </w:footnote>
  <w:footnote w:id="6">
    <w:p w14:paraId="713BBAF1" w14:textId="77777777" w:rsidR="00321E4D" w:rsidRPr="00013AFB" w:rsidRDefault="00321E4D" w:rsidP="009F303C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Dla konkursów ogłoszonych przed 29.06.2016 r. – dotyczy odpowiednio 1.4 C i 1.4 D.</w:t>
      </w:r>
    </w:p>
  </w:footnote>
  <w:footnote w:id="7">
    <w:p w14:paraId="1B7FA7BD" w14:textId="77777777" w:rsidR="00321E4D" w:rsidRDefault="00321E4D" w:rsidP="00A476E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82835">
        <w:t>W przypadku rozliczania wydatku za pomocą stawki ryczałtowej – zastosowanie mają zapisy pkt. 4 UPROSZCZONE METODY ROZLICZANIA WYDATKÓW.</w:t>
      </w:r>
    </w:p>
  </w:footnote>
  <w:footnote w:id="8">
    <w:p w14:paraId="0B52BEA0" w14:textId="77777777" w:rsidR="00321E4D" w:rsidRDefault="00321E4D" w:rsidP="00A476E8">
      <w:pPr>
        <w:pStyle w:val="Tekstprzypisudolnego"/>
        <w:jc w:val="both"/>
      </w:pPr>
      <w:r>
        <w:rPr>
          <w:rStyle w:val="Odwoanieprzypisudolnego"/>
        </w:rPr>
        <w:footnoteRef/>
      </w:r>
      <w:r w:rsidRPr="00582835">
        <w:t>W przypadku rozliczania wydatku za pomocą stawki ryczałtowej – zastosowanie mają zapisy pkt. 4 UPROSZCZONE METODY ROZLICZANIA WYDATKÓW.</w:t>
      </w:r>
      <w:r>
        <w:t xml:space="preserve"> </w:t>
      </w:r>
    </w:p>
  </w:footnote>
  <w:footnote w:id="9">
    <w:p w14:paraId="0067C61D" w14:textId="77777777" w:rsidR="00321E4D" w:rsidRPr="00013AFB" w:rsidRDefault="00321E4D" w:rsidP="007A2810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26.09.2016 r. do dnia 20.11.2016 r. Dla pozostałych konkursów – zapis nieobowiązujący.</w:t>
      </w:r>
    </w:p>
  </w:footnote>
  <w:footnote w:id="10">
    <w:p w14:paraId="2827ECAD" w14:textId="77777777" w:rsidR="00321E4D" w:rsidRPr="00013AFB" w:rsidRDefault="00321E4D" w:rsidP="007A2810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Badania podstawowe – oryginalne prace badawcze eksperymentalne lub teoretyczne podejmowane przede wszystkim w celu zdobywania nowej wiedzy o podstawach zjawisk i obserwowalnych faktów bez nastawienia na bezpośrednie praktyczne zastosowanie lub użytkowanie (art. 2 pkt. 3)a) ustawy z dn</w:t>
      </w:r>
      <w:r>
        <w:t>ia</w:t>
      </w:r>
      <w:r w:rsidRPr="00013AFB">
        <w:t xml:space="preserve"> 30 kwietnia 2010 r. o zasadach finansowania nauki).</w:t>
      </w:r>
    </w:p>
  </w:footnote>
  <w:footnote w:id="11">
    <w:p w14:paraId="095965C7" w14:textId="398590F2" w:rsidR="00321E4D" w:rsidRDefault="00321E4D">
      <w:pPr>
        <w:pStyle w:val="Tekstprzypisudolnego"/>
      </w:pPr>
      <w:r>
        <w:rPr>
          <w:rStyle w:val="Odwoanieprzypisudolnego"/>
        </w:rPr>
        <w:footnoteRef/>
      </w:r>
      <w:r>
        <w:t xml:space="preserve"> Dotyczy naborów do działania 1.1 ogłaszanych od października 2019 r. </w:t>
      </w:r>
    </w:p>
  </w:footnote>
  <w:footnote w:id="12">
    <w:p w14:paraId="1EAF6DC9" w14:textId="77777777" w:rsidR="00321E4D" w:rsidRPr="002E11F5" w:rsidRDefault="00321E4D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przed 16.01.2017 r. Dla konkursów ogłaszanych od dnia 16.01.2017 r. – zapis nieobowiązujący.</w:t>
      </w:r>
    </w:p>
  </w:footnote>
  <w:footnote w:id="13">
    <w:p w14:paraId="4B137E14" w14:textId="77777777" w:rsidR="00321E4D" w:rsidRPr="002E11F5" w:rsidRDefault="00321E4D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przed 23.11.2015 r. </w:t>
      </w:r>
      <w:bookmarkStart w:id="8" w:name="_Hlk493167426"/>
      <w:r w:rsidRPr="002E11F5">
        <w:t>Dla konkursów ogłaszanych od dnia 23.11.2015 r. – zapis nieobowiązujący.</w:t>
      </w:r>
      <w:bookmarkEnd w:id="8"/>
    </w:p>
  </w:footnote>
  <w:footnote w:id="14">
    <w:p w14:paraId="45D898BC" w14:textId="77777777" w:rsidR="00321E4D" w:rsidRDefault="00321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11F5">
        <w:t>Dotyczy konkursów ogłaszanych od dnia 28.12.2015 r. Dla konkursów ogłaszanych przed 28.12.2015 r. – zapis nieobowiązujący.</w:t>
      </w:r>
    </w:p>
  </w:footnote>
  <w:footnote w:id="15">
    <w:p w14:paraId="21684B7A" w14:textId="77777777" w:rsidR="00321E4D" w:rsidRDefault="00321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11F5">
        <w:t>Dotyczy konkursów ogłaszanych od dnia 26.09.2016 r. do dnia 20.11.2016 r. oraz konkursów ogłaszanych od dnia 16.01.2017 r. Dla konkursów ogłaszanych od dnia 21.11.2016 r. do dnia 15.01.2017 r. – zapis nieobowiązujący.</w:t>
      </w:r>
    </w:p>
  </w:footnote>
  <w:footnote w:id="16">
    <w:p w14:paraId="39243F5E" w14:textId="77777777" w:rsidR="00321E4D" w:rsidRPr="002E11F5" w:rsidRDefault="00321E4D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26.09.2016 r. do dnia 20.11.2016 r. oraz konkursów ogłaszanych od dnia 16.01.2017 r. Dla konkursów ogłaszanych od dnia 21.11.2016 r. do dnia 15.01.2017 r. – zapis nieobowiązujący.</w:t>
      </w:r>
    </w:p>
  </w:footnote>
  <w:footnote w:id="17">
    <w:p w14:paraId="3E9FCDE5" w14:textId="77777777" w:rsidR="00321E4D" w:rsidRPr="002E11F5" w:rsidRDefault="00321E4D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</w:t>
      </w:r>
      <w:bookmarkStart w:id="10" w:name="_Hlk492628914"/>
      <w:r w:rsidRPr="002E11F5">
        <w:t>Dotyczy konkursów ogłaszanych od dnia 28.12.2015 r.</w:t>
      </w:r>
      <w:bookmarkEnd w:id="10"/>
      <w:r w:rsidRPr="002E11F5">
        <w:t xml:space="preserve"> Dla konkursów ogłaszanych przed 28.12.2015 r. – zapis nieobowiązujący.</w:t>
      </w:r>
    </w:p>
  </w:footnote>
  <w:footnote w:id="18">
    <w:p w14:paraId="13AA8E61" w14:textId="77777777" w:rsidR="00321E4D" w:rsidRPr="00013AFB" w:rsidRDefault="00321E4D" w:rsidP="00013AFB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29.06.2016 r. Dla konkursów ogłaszanych przed 29.06.2016 r. – zapis nieobowiązujący.</w:t>
      </w:r>
    </w:p>
  </w:footnote>
  <w:footnote w:id="19">
    <w:p w14:paraId="1124DDF5" w14:textId="77777777" w:rsidR="00321E4D" w:rsidRDefault="00321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3AFB">
        <w:t>Dotyczy konkursów ogłaszanych od dnia 29.06.2016 r. Dla konkursów ogłaszanych przed 29.06.2016 r. – zapis nieobowiązujący.</w:t>
      </w:r>
    </w:p>
  </w:footnote>
  <w:footnote w:id="20">
    <w:p w14:paraId="4E63B4C1" w14:textId="77777777" w:rsidR="00321E4D" w:rsidRDefault="00321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3AFB">
        <w:t>Dotyczy konkursów ogłaszanych od dnia 29.06.2016 r. Dla konkursów ogłaszanych przed 29.06.2016 r. – zapis nieobowiązujący.</w:t>
      </w:r>
    </w:p>
  </w:footnote>
  <w:footnote w:id="21">
    <w:p w14:paraId="621A2528" w14:textId="77777777" w:rsidR="00321E4D" w:rsidRPr="002E11F5" w:rsidRDefault="00321E4D" w:rsidP="00013AFB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</w:t>
      </w:r>
      <w:r>
        <w:t>6</w:t>
      </w:r>
      <w:r w:rsidRPr="00013AFB">
        <w:t xml:space="preserve"> r. – zapis </w:t>
      </w:r>
      <w:r w:rsidRPr="002E11F5">
        <w:t>nieobowiązujący.</w:t>
      </w:r>
    </w:p>
  </w:footnote>
  <w:footnote w:id="22">
    <w:p w14:paraId="20104F97" w14:textId="77777777" w:rsidR="00321E4D" w:rsidRPr="00013AFB" w:rsidRDefault="00321E4D" w:rsidP="00013AFB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28.12.2015 r. Dla konkursów ogłaszanych przed 28.12.2015 r. – zapis nieobowiązujący.</w:t>
      </w:r>
    </w:p>
  </w:footnote>
  <w:footnote w:id="23">
    <w:p w14:paraId="2CCA2873" w14:textId="77777777" w:rsidR="00321E4D" w:rsidRPr="00013AFB" w:rsidRDefault="00321E4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</w:t>
      </w:r>
      <w:bookmarkStart w:id="13" w:name="_Hlk493575490"/>
      <w:r w:rsidRPr="00013AFB">
        <w:t>Dotyczy konkursów ogłaszanych od dnia 28.12.2015 r. Dla konkursów ogłaszanych przed 28.12.2015 r. – zapis nieobowiązujący.</w:t>
      </w:r>
      <w:bookmarkEnd w:id="13"/>
    </w:p>
  </w:footnote>
  <w:footnote w:id="24">
    <w:p w14:paraId="627EA063" w14:textId="77777777" w:rsidR="00321E4D" w:rsidRPr="00013AFB" w:rsidRDefault="00321E4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28.12.2015 r. Dla konkursów ogłaszanych przed 28.12.2015 r. – zapis nieobowiązujący.</w:t>
      </w:r>
    </w:p>
  </w:footnote>
  <w:footnote w:id="25">
    <w:p w14:paraId="2EDBE349" w14:textId="77777777" w:rsidR="00321E4D" w:rsidRPr="00013AFB" w:rsidRDefault="00321E4D" w:rsidP="00B46B35">
      <w:pPr>
        <w:pStyle w:val="Tekstprzypisudolnego"/>
        <w:jc w:val="both"/>
      </w:pPr>
      <w:r w:rsidRPr="002F4911">
        <w:rPr>
          <w:rStyle w:val="Odwoanieprzypisudolnego"/>
        </w:rPr>
        <w:footnoteRef/>
      </w:r>
      <w:r w:rsidRPr="002F4911">
        <w:t xml:space="preserve"> Zapis w zakresie usług hotelarskich dotyczy konkursów ogłaszanych od dnia 23.05.2016 r. Dla konkursów ogłaszanych przed 23.05.2016 r. – zapis nieobowiązujący (wydatek w zakresie usług hotelarskich – niekwalifikowalny).</w:t>
      </w:r>
    </w:p>
  </w:footnote>
  <w:footnote w:id="26">
    <w:p w14:paraId="44AB41E2" w14:textId="77777777" w:rsidR="00321E4D" w:rsidRPr="00013AFB" w:rsidRDefault="00321E4D">
      <w:pPr>
        <w:pStyle w:val="Tekstprzypisudolnego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28.12.2015 r. Dla konkursów ogłaszanych przed 28.12.2015 r. – zapis nieobowiązujący.</w:t>
      </w:r>
    </w:p>
  </w:footnote>
  <w:footnote w:id="27">
    <w:p w14:paraId="790B572F" w14:textId="77777777" w:rsidR="00321E4D" w:rsidRPr="00013AFB" w:rsidRDefault="00321E4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28">
    <w:p w14:paraId="431CAF58" w14:textId="77777777" w:rsidR="00321E4D" w:rsidRPr="00013AFB" w:rsidRDefault="00321E4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29">
    <w:p w14:paraId="3E7F93D1" w14:textId="77777777" w:rsidR="00321E4D" w:rsidRDefault="00321E4D">
      <w:pPr>
        <w:pStyle w:val="Tekstprzypisudolnego"/>
      </w:pPr>
      <w:r>
        <w:rPr>
          <w:rStyle w:val="Odwoanieprzypisudolnego"/>
        </w:rPr>
        <w:footnoteRef/>
      </w:r>
      <w:r>
        <w:t xml:space="preserve"> Dotyczy </w:t>
      </w:r>
      <w:r w:rsidRPr="00AF3591">
        <w:rPr>
          <w:rFonts w:eastAsia="Times New Roman" w:cs="Times New Roman"/>
        </w:rPr>
        <w:t xml:space="preserve">konkursu  </w:t>
      </w:r>
      <w:r>
        <w:t xml:space="preserve">ogłoszonego </w:t>
      </w:r>
      <w:r w:rsidRPr="00AF3591">
        <w:rPr>
          <w:rFonts w:eastAsia="Times New Roman" w:cs="Times New Roman"/>
        </w:rPr>
        <w:t>w dniu 25</w:t>
      </w:r>
      <w:r>
        <w:rPr>
          <w:rFonts w:eastAsia="Times New Roman" w:cs="Times New Roman"/>
        </w:rPr>
        <w:t>.06.</w:t>
      </w:r>
      <w:r w:rsidRPr="00AF3591">
        <w:rPr>
          <w:rFonts w:eastAsia="Times New Roman" w:cs="Times New Roman"/>
        </w:rPr>
        <w:t>2018 r.</w:t>
      </w:r>
    </w:p>
  </w:footnote>
  <w:footnote w:id="30">
    <w:p w14:paraId="3F569264" w14:textId="77777777" w:rsidR="00321E4D" w:rsidRPr="00013AFB" w:rsidRDefault="00321E4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31">
    <w:p w14:paraId="773ADB85" w14:textId="77777777" w:rsidR="00321E4D" w:rsidRPr="00013AFB" w:rsidRDefault="00321E4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25.01.2016 r. Dla konkursów ogłaszanych od dnia 25.01.2016 r. – zapis nieobowiązujący. </w:t>
      </w:r>
    </w:p>
  </w:footnote>
  <w:footnote w:id="32">
    <w:p w14:paraId="28046B50" w14:textId="77777777" w:rsidR="00321E4D" w:rsidRPr="00013AFB" w:rsidRDefault="00321E4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33">
    <w:p w14:paraId="4C95A86A" w14:textId="77777777" w:rsidR="00321E4D" w:rsidRPr="00013AFB" w:rsidRDefault="00321E4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27.07.2016 r. Dla konkursów ogłaszanych przed 27.07.2016 r. – zapis nieobowiązujący.</w:t>
      </w:r>
    </w:p>
  </w:footnote>
  <w:footnote w:id="34">
    <w:p w14:paraId="246AC7DF" w14:textId="77777777" w:rsidR="00321E4D" w:rsidRPr="00013AFB" w:rsidRDefault="00321E4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27.07.2016 r. Dla konkursów ogłaszanych przed 27.07.2016 r. – zapis nieobowiązujący.</w:t>
      </w:r>
    </w:p>
  </w:footnote>
  <w:footnote w:id="35">
    <w:p w14:paraId="2F8275ED" w14:textId="77777777" w:rsidR="00321E4D" w:rsidRPr="00013AFB" w:rsidRDefault="00321E4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> Dotyczy konkursów ogłaszanych od dnia 28.12.2015 r. Dla konkursów ogłaszanych przed 28.12.2015 r. – zapis nieobowiązujący.</w:t>
      </w:r>
    </w:p>
  </w:footnote>
  <w:footnote w:id="36">
    <w:p w14:paraId="3AF2DC9D" w14:textId="77777777" w:rsidR="00321E4D" w:rsidRPr="00013AFB" w:rsidRDefault="00321E4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37">
    <w:p w14:paraId="120652DF" w14:textId="77777777" w:rsidR="00321E4D" w:rsidRPr="00013AFB" w:rsidRDefault="00321E4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</w:t>
      </w:r>
      <w:bookmarkStart w:id="14" w:name="_Hlk492464795"/>
      <w:r w:rsidRPr="00013AFB">
        <w:t>Dotyczy konkursów ogłaszanych od dnia 16.01.2017 r. Dla konkursów ogłaszanych przed 16.01.2017 r. – zapis nieobowiązujący.</w:t>
      </w:r>
      <w:bookmarkEnd w:id="14"/>
    </w:p>
  </w:footnote>
  <w:footnote w:id="38">
    <w:p w14:paraId="7B63705A" w14:textId="48FA6A79" w:rsidR="00321E4D" w:rsidRDefault="00321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78D7">
        <w:t>Dla konkursów ogłoszonych od 30 października 2019 r.</w:t>
      </w:r>
    </w:p>
  </w:footnote>
  <w:footnote w:id="39">
    <w:p w14:paraId="17A5F4B4" w14:textId="77777777" w:rsidR="00321E4D" w:rsidRPr="00013AFB" w:rsidRDefault="00321E4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23.05.2016 r. Dla konkursów ogłaszanych od dnia 23.05.2016 r. – zapis nieobowiązujący.</w:t>
      </w:r>
    </w:p>
  </w:footnote>
  <w:footnote w:id="40">
    <w:p w14:paraId="54A96000" w14:textId="77777777" w:rsidR="00321E4D" w:rsidRDefault="00321E4D">
      <w:pPr>
        <w:pStyle w:val="Tekstprzypisudolnego"/>
      </w:pPr>
      <w:r>
        <w:rPr>
          <w:rStyle w:val="Odwoanieprzypisudolnego"/>
        </w:rPr>
        <w:footnoteRef/>
      </w:r>
      <w:r>
        <w:t xml:space="preserve"> Dotyczy konkursów ogłaszanych od dnia 25.07.2018 r.</w:t>
      </w:r>
    </w:p>
  </w:footnote>
  <w:footnote w:id="41">
    <w:p w14:paraId="00D4CC33" w14:textId="77777777" w:rsidR="00321E4D" w:rsidRDefault="00321E4D">
      <w:pPr>
        <w:pStyle w:val="Tekstprzypisudolnego"/>
      </w:pPr>
      <w:r>
        <w:rPr>
          <w:rStyle w:val="Odwoanieprzypisudolnego"/>
        </w:rPr>
        <w:footnoteRef/>
      </w:r>
      <w:r>
        <w:t xml:space="preserve"> Nie dotyczy typu 3.3 d </w:t>
      </w:r>
      <w:r>
        <w:rPr>
          <w:rFonts w:cs="Arial"/>
        </w:rPr>
        <w:t>Wsparcie za pomocą instrumentów finansowych</w:t>
      </w:r>
    </w:p>
  </w:footnote>
  <w:footnote w:id="42">
    <w:p w14:paraId="3B076AFA" w14:textId="661235CF" w:rsidR="00321E4D" w:rsidRDefault="00321E4D">
      <w:pPr>
        <w:pStyle w:val="Tekstprzypisudolnego"/>
      </w:pPr>
      <w:r>
        <w:rPr>
          <w:rStyle w:val="Odwoanieprzypisudolnego"/>
        </w:rPr>
        <w:footnoteRef/>
      </w:r>
      <w:r>
        <w:t xml:space="preserve"> Dla konkursów ogłoszonych od 30 października 2019 r.</w:t>
      </w:r>
    </w:p>
  </w:footnote>
  <w:footnote w:id="43">
    <w:p w14:paraId="22B799CB" w14:textId="3B7DA5D9" w:rsidR="00321E4D" w:rsidRDefault="00321E4D">
      <w:pPr>
        <w:pStyle w:val="Tekstprzypisudolnego"/>
      </w:pPr>
      <w:r>
        <w:rPr>
          <w:rStyle w:val="Odwoanieprzypisudolnego"/>
        </w:rPr>
        <w:footnoteRef/>
      </w:r>
      <w:r>
        <w:t xml:space="preserve"> Dla konkursów ogłoszonych od 30 października 2019 r.</w:t>
      </w:r>
    </w:p>
  </w:footnote>
  <w:footnote w:id="44">
    <w:p w14:paraId="7EAA7F17" w14:textId="04964135" w:rsidR="00321E4D" w:rsidRPr="00013AFB" w:rsidRDefault="00321E4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</w:t>
      </w:r>
      <w:bookmarkStart w:id="15" w:name="_Hlk520105575"/>
      <w:r w:rsidRPr="00013AFB">
        <w:t xml:space="preserve">Dla konkursów ogłoszonych przed 16.01.2017 r. </w:t>
      </w:r>
      <w:r>
        <w:rPr>
          <w:color w:val="7030A0"/>
          <w:u w:val="single"/>
        </w:rPr>
        <w:t xml:space="preserve">oraz dla konkursu RPDS.03.04.04-IP.03-02-248/17 </w:t>
      </w:r>
      <w:r w:rsidRPr="00013AFB">
        <w:t>– 50%.</w:t>
      </w:r>
      <w:bookmarkEnd w:id="15"/>
    </w:p>
  </w:footnote>
  <w:footnote w:id="45">
    <w:p w14:paraId="6DDA88E5" w14:textId="5C1335CF" w:rsidR="00321E4D" w:rsidRPr="00013AFB" w:rsidRDefault="00321E4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Dla konkursów ogłoszonych przed 16.01.2017 r. </w:t>
      </w:r>
      <w:r>
        <w:rPr>
          <w:color w:val="7030A0"/>
          <w:u w:val="single"/>
        </w:rPr>
        <w:t xml:space="preserve">oraz dla konkursu RPDS.03.04.04-IP.03-02-248/17 </w:t>
      </w:r>
      <w:r w:rsidRPr="00013AFB">
        <w:t>– 50%.</w:t>
      </w:r>
    </w:p>
  </w:footnote>
  <w:footnote w:id="46">
    <w:p w14:paraId="73C2A203" w14:textId="44990024" w:rsidR="00321E4D" w:rsidRPr="00013AFB" w:rsidRDefault="00321E4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Dla konkursów ogłoszonych przed 16.01.2017 r. </w:t>
      </w:r>
      <w:r>
        <w:rPr>
          <w:color w:val="7030A0"/>
          <w:u w:val="single"/>
        </w:rPr>
        <w:t xml:space="preserve">oraz dla konkursu RPDS.03.04.04-IP.03-02-248/17 </w:t>
      </w:r>
      <w:r w:rsidRPr="00013AFB">
        <w:t>– 50%.</w:t>
      </w:r>
      <w:r>
        <w:t xml:space="preserve"> </w:t>
      </w:r>
      <w:bookmarkStart w:id="16" w:name="_Hlk520112641"/>
      <w:r>
        <w:t>D</w:t>
      </w:r>
      <w:r w:rsidRPr="00E828B9">
        <w:t xml:space="preserve">la konkursów ogłoszonych </w:t>
      </w:r>
      <w:r>
        <w:t>od dnia 16.01.2017 r. do dnia</w:t>
      </w:r>
      <w:r w:rsidRPr="00E828B9">
        <w:t xml:space="preserve"> </w:t>
      </w:r>
      <w:r>
        <w:t>24</w:t>
      </w:r>
      <w:r w:rsidRPr="00E828B9">
        <w:t>.0</w:t>
      </w:r>
      <w:r>
        <w:t>7</w:t>
      </w:r>
      <w:r w:rsidRPr="00E828B9">
        <w:t>.201</w:t>
      </w:r>
      <w:r>
        <w:t>8 </w:t>
      </w:r>
      <w:r w:rsidRPr="00E828B9">
        <w:t xml:space="preserve">r. – </w:t>
      </w:r>
      <w:r>
        <w:t>49</w:t>
      </w:r>
      <w:r w:rsidRPr="00E828B9">
        <w:t>%</w:t>
      </w:r>
      <w:r>
        <w:t>.</w:t>
      </w:r>
      <w:bookmarkEnd w:id="16"/>
    </w:p>
  </w:footnote>
  <w:footnote w:id="47">
    <w:p w14:paraId="6224803B" w14:textId="77777777" w:rsidR="00321E4D" w:rsidRPr="00013AFB" w:rsidRDefault="00321E4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48">
    <w:p w14:paraId="2D584D13" w14:textId="77777777" w:rsidR="00321E4D" w:rsidRPr="00013AFB" w:rsidRDefault="00321E4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49">
    <w:p w14:paraId="2F918C1F" w14:textId="77777777" w:rsidR="00321E4D" w:rsidRPr="00013AFB" w:rsidRDefault="00321E4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50">
    <w:p w14:paraId="7DB96044" w14:textId="77777777" w:rsidR="00321E4D" w:rsidRPr="00013AFB" w:rsidRDefault="00321E4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administracyjnej. Dlatego należy określić procentowy udział powierzchni użytkowej związanej z prowadzeniem działalności administracyjnej w całkowitej powierzchni użytkowej budynku. Następnie należy wg uzyskanej proporcji obniżyć wydatki kwalifikowalne.</w:t>
      </w:r>
    </w:p>
  </w:footnote>
  <w:footnote w:id="51">
    <w:p w14:paraId="4BAF1D31" w14:textId="77777777" w:rsidR="00321E4D" w:rsidRPr="00013AFB" w:rsidRDefault="00321E4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gospodarczej. Dlatego należy określić procentowy udział powierzchni użytkowej związanej z prowadzeniem działalności gospodarczej w całkowitej powierzchni użytkowej budynku. Następnie należy wg uzyskanej proporcji obniżyć wydatki kwalifikowalne.</w:t>
      </w:r>
    </w:p>
  </w:footnote>
  <w:footnote w:id="52">
    <w:p w14:paraId="17FFD0D2" w14:textId="77777777" w:rsidR="00321E4D" w:rsidRPr="00013AFB" w:rsidRDefault="00321E4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53">
    <w:p w14:paraId="4BFAD0F8" w14:textId="77777777" w:rsidR="00321E4D" w:rsidRPr="00013AFB" w:rsidRDefault="00321E4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przedszkoli. Jeśli Wnioskodawca nie ma możliwości wykazania kosztów w podziale na żłobek i przedszkole, należy określić procentowy udział powierzchni użytkowej związanej z prowadzeniem działalności przedszkolnej w całkowitej powierzchni użytkowej budynku. Następnie należy wg uzyskanej proporcji </w:t>
      </w:r>
      <w:r>
        <w:t>obniżyć wydatki kwalifikowalne.</w:t>
      </w:r>
    </w:p>
  </w:footnote>
  <w:footnote w:id="54">
    <w:p w14:paraId="702F9B46" w14:textId="77777777" w:rsidR="00321E4D" w:rsidRPr="00013AFB" w:rsidRDefault="00321E4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55">
    <w:p w14:paraId="6D64BCD2" w14:textId="77777777" w:rsidR="00321E4D" w:rsidRPr="00013AFB" w:rsidRDefault="00321E4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56">
    <w:p w14:paraId="4CACAFD0" w14:textId="77777777" w:rsidR="00321E4D" w:rsidRPr="00013AFB" w:rsidRDefault="00321E4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57">
    <w:p w14:paraId="17E18B38" w14:textId="77777777" w:rsidR="00321E4D" w:rsidRPr="00013AFB" w:rsidRDefault="00321E4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gospodarczej. Dlatego należy określić procentowy udział powierzchni użytkowej związanej z prowadzeniem działalności gospodarczej w całkowitej powierzchni użytkowej budynku. Następnie należy wg uzyskanej proporcji obniżyć wydatki kwalifikowalne.</w:t>
      </w:r>
    </w:p>
  </w:footnote>
  <w:footnote w:id="58">
    <w:p w14:paraId="42A68FDA" w14:textId="77777777" w:rsidR="00321E4D" w:rsidRPr="00013AFB" w:rsidRDefault="00321E4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26.09.2016 </w:t>
      </w:r>
      <w:r w:rsidRPr="00042236">
        <w:t>r. Dla konkursów ogłaszanych od dnia 26.09.2016 r. – zapis nieobowiązujący.</w:t>
      </w:r>
      <w:r w:rsidRPr="00013AFB">
        <w:t xml:space="preserve"> </w:t>
      </w:r>
    </w:p>
  </w:footnote>
  <w:footnote w:id="59">
    <w:p w14:paraId="0AE973FE" w14:textId="77777777" w:rsidR="00321E4D" w:rsidRPr="00042236" w:rsidRDefault="00321E4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administracyjnej. Dlatego należy określić procentowy udział powierzchni użytkowej związanej </w:t>
      </w:r>
      <w:r w:rsidRPr="00042236">
        <w:t>z prowadzeniem działalności administracyjnej w całkowitej powierzchni użytkowej budynku. Następnie należy wg uzyskanej proporcji obniżyć wydatki kwalifikowalne.</w:t>
      </w:r>
    </w:p>
  </w:footnote>
  <w:footnote w:id="60">
    <w:p w14:paraId="391389ED" w14:textId="77777777" w:rsidR="00321E4D" w:rsidRPr="00042236" w:rsidRDefault="00321E4D">
      <w:pPr>
        <w:pStyle w:val="Tekstprzypisudolnego"/>
      </w:pPr>
      <w:r w:rsidRPr="00042236">
        <w:rPr>
          <w:rStyle w:val="Odwoanieprzypisudolnego"/>
        </w:rPr>
        <w:footnoteRef/>
      </w:r>
      <w:r w:rsidRPr="00042236">
        <w:t xml:space="preserve"> Dotyczy konkursów ogłaszanych od dnia 26.09.2016 r. Dla konkursów ogłaszanych przed 26.09.2016 r. – zapis nieobowiązujący</w:t>
      </w:r>
    </w:p>
  </w:footnote>
  <w:footnote w:id="61">
    <w:p w14:paraId="3D9F1AD8" w14:textId="77777777" w:rsidR="00321E4D" w:rsidRPr="00042236" w:rsidRDefault="00321E4D" w:rsidP="00F2036F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Dotyczy konkursów ogłaszanych od dnia 16.01.2017 r. Dla konkursów ogłaszanych przed 16.01.201</w:t>
      </w:r>
      <w:r>
        <w:t>7</w:t>
      </w:r>
      <w:r w:rsidRPr="00042236">
        <w:t xml:space="preserve"> r. – zapis nieobowiązujący.</w:t>
      </w:r>
    </w:p>
  </w:footnote>
  <w:footnote w:id="62">
    <w:p w14:paraId="1BD5B0D4" w14:textId="77777777" w:rsidR="00321E4D" w:rsidRPr="00042236" w:rsidRDefault="00321E4D" w:rsidP="00835141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 prowadzeniem działalności administracyjnej. Dlatego należy określić procentowy udział powierzchni użytkowej związanej z prowadzeniem działalności administracyjnej w całkowitej powierzchni użytkowej budynku. Następnie należy wg uzyskanej proporcji obniżyć wydatki kwalifikowalne.</w:t>
      </w:r>
    </w:p>
  </w:footnote>
  <w:footnote w:id="63">
    <w:p w14:paraId="6FED7F1E" w14:textId="77777777" w:rsidR="00321E4D" w:rsidRPr="00042236" w:rsidRDefault="00321E4D" w:rsidP="00A23F33">
      <w:pPr>
        <w:pStyle w:val="Tekstprzypisudolnego"/>
      </w:pPr>
      <w:r w:rsidRPr="00042236">
        <w:rPr>
          <w:rStyle w:val="Odwoanieprzypisudolnego"/>
        </w:rPr>
        <w:footnoteRef/>
      </w:r>
      <w:r w:rsidRPr="00042236">
        <w:t xml:space="preserve"> P</w:t>
      </w:r>
      <w:r w:rsidRPr="00042236">
        <w:rPr>
          <w:rFonts w:cs="Arial"/>
        </w:rPr>
        <w:t xml:space="preserve">oprzez tereny inwestycyjne rozumie się </w:t>
      </w:r>
      <w:r w:rsidRPr="00042236">
        <w:rPr>
          <w:rFonts w:cs="Arial"/>
          <w:bCs/>
        </w:rPr>
        <w:t>wyłącznie tereny przeznaczone pod prowadzenie działalności gospodarczej</w:t>
      </w:r>
      <w:r w:rsidRPr="00042236">
        <w:rPr>
          <w:rFonts w:cs="Arial"/>
        </w:rPr>
        <w:t xml:space="preserve"> (np. mogą to być tereny inwestycyjne zlokalizowane w strefach ekonomicznych czy też oferowane przez gminy i przeznaczone w miejscowym planie zagospodarowania przestrzennego pod działalność gospodarczą, w tym usługi turystyczne).</w:t>
      </w:r>
    </w:p>
  </w:footnote>
  <w:footnote w:id="64">
    <w:p w14:paraId="05329465" w14:textId="77777777" w:rsidR="00321E4D" w:rsidRPr="00042236" w:rsidRDefault="00321E4D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żłobków. Jeśli Wnioskodawca nie ma możliwości wykazania kosztów w podziale na żłobek i przedszkole należy określić procentowy udział powierzchni użytkowej związanej z prowadzeniem działalności żłobkowej w całkowitej powierzchni użytkowej budynku. Następnie należy wg uzyskanej proporcji obniżyć wydatki kwalifikowalne.</w:t>
      </w:r>
    </w:p>
  </w:footnote>
  <w:footnote w:id="65">
    <w:p w14:paraId="007388CA" w14:textId="77777777" w:rsidR="00321E4D" w:rsidRPr="00042236" w:rsidRDefault="00321E4D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Za wyjątkiem zakupu placu zabaw</w:t>
      </w:r>
      <w:r>
        <w:t>.</w:t>
      </w:r>
    </w:p>
  </w:footnote>
  <w:footnote w:id="66">
    <w:p w14:paraId="6B53534B" w14:textId="77777777" w:rsidR="00321E4D" w:rsidRPr="00042236" w:rsidRDefault="00321E4D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przedszkoli. Jeśli Wnioskodawca nie ma możliwości wykazania kosztów w podziale na szkołę i przedszkole należy określić procentowy udział powierzchni użytkowej związanej z prowadzeniem działalności przedszkolnej w całkowitej powierzchni użytkowej budynku. Następnie należy wg uzyskanej proporcji obniżyć wydatki kwalifikowalne.</w:t>
      </w:r>
    </w:p>
  </w:footnote>
  <w:footnote w:id="67">
    <w:p w14:paraId="76AF6100" w14:textId="77777777" w:rsidR="00321E4D" w:rsidRPr="00042236" w:rsidRDefault="00321E4D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szkół. Jeśli Wnioskodawca nie ma możliwości wykazania kosztów w podziale na szkołę i przedszkole należy określić procentowy udział powierzchni użytkowej związanej z prowadzeniem działalności szkół w całkowitej powierzchni użytkowej budynku. Następnie należy wg uzyskanej proporcji obniżyć wydatki kwalifikowalne.</w:t>
      </w:r>
    </w:p>
  </w:footnote>
  <w:footnote w:id="68">
    <w:p w14:paraId="41293303" w14:textId="77777777" w:rsidR="00321E4D" w:rsidRPr="00013AFB" w:rsidRDefault="00321E4D" w:rsidP="00A23F33">
      <w:pPr>
        <w:pStyle w:val="Tekstprzypisudolnego"/>
        <w:jc w:val="both"/>
      </w:pPr>
      <w:r w:rsidRPr="00042236">
        <w:rPr>
          <w:rStyle w:val="Odwoanieprzypisudolnego"/>
          <w:color w:val="000000" w:themeColor="text1"/>
        </w:rPr>
        <w:footnoteRef/>
      </w:r>
      <w:r w:rsidRPr="00042236">
        <w:rPr>
          <w:color w:val="000000" w:themeColor="text1"/>
        </w:rPr>
        <w:t xml:space="preserve"> Wydatki kwalifikowalne nie obejmują wydatków ponoszonych na część związaną z infrastrukturą szkół ponadgimnazjalnych. Jeśli Wnioskodawca nie ma możliwości wykazania kosztów w podziale na szkołę podstawową/gimnazjum i szkołę ponadgimnazjalną  należy </w:t>
      </w:r>
      <w:r w:rsidRPr="00042236">
        <w:t>określić procentowy udział powierzchni użytkowej związanej z prowadzeniem działalności szkoły ponadgimnazjalnej w całkowitej powierzchni użytkowej budynku. Następnie należy wg uzyskanej proporcji obniżyć wydatki kwalifikowalne.</w:t>
      </w:r>
      <w:r w:rsidRPr="00013AFB">
        <w:t xml:space="preserve">  </w:t>
      </w:r>
    </w:p>
  </w:footnote>
  <w:footnote w:id="69">
    <w:p w14:paraId="6496D739" w14:textId="77777777" w:rsidR="00321E4D" w:rsidRPr="00013AFB" w:rsidRDefault="00321E4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</w:t>
      </w:r>
      <w:r>
        <w:t>16</w:t>
      </w:r>
      <w:r w:rsidRPr="00013AFB">
        <w:t>.0</w:t>
      </w:r>
      <w:r>
        <w:t>1</w:t>
      </w:r>
      <w:r w:rsidRPr="00013AFB">
        <w:t>.201</w:t>
      </w:r>
      <w:r>
        <w:t>7</w:t>
      </w:r>
      <w:r w:rsidRPr="00013AFB">
        <w:t xml:space="preserve"> r. – zapis nieobowiązujący.</w:t>
      </w:r>
    </w:p>
  </w:footnote>
  <w:footnote w:id="70">
    <w:p w14:paraId="09CB9D72" w14:textId="77777777" w:rsidR="00321E4D" w:rsidRPr="00013AFB" w:rsidRDefault="00321E4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szkół ponadgimnazjalnych zawodowych. Jeśli Wnioskodawca nie ma możliwości wykazania kosztów w podziale na  szkołę ponadgimnazjalną zawodową/szkołę ponadgimnazjalną ogólną  należy określić procentowy udział powierzchni użytkowej związanej z prowadzeniem działalności szkoły ponadgimnazjalnej zawodowej w</w:t>
      </w:r>
      <w:r>
        <w:t> </w:t>
      </w:r>
      <w:r w:rsidRPr="00013AFB">
        <w:t xml:space="preserve">całkowitej powierzchni użytkowej budynku. Następnie należy wg uzyskanej proporcji obniżyć wydatki kwalifikowalne.  </w:t>
      </w:r>
    </w:p>
  </w:footnote>
  <w:footnote w:id="71">
    <w:p w14:paraId="6363DBEE" w14:textId="77777777" w:rsidR="00321E4D" w:rsidRDefault="00321E4D" w:rsidP="00A736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konkursów ogłaszanych do dnia 21.05.2018 r.</w:t>
      </w:r>
      <w:r w:rsidRPr="00A73672">
        <w:t xml:space="preserve"> </w:t>
      </w:r>
      <w:r>
        <w:t>Dla konkursów ogłaszanych po</w:t>
      </w:r>
      <w:r w:rsidRPr="00A73672">
        <w:t xml:space="preserve"> 21.05.2018 r. – zapis nieobowiązujący.</w:t>
      </w:r>
    </w:p>
  </w:footnote>
  <w:footnote w:id="72">
    <w:p w14:paraId="08F9182D" w14:textId="77777777" w:rsidR="00321E4D" w:rsidRPr="00013AFB" w:rsidRDefault="00321E4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szkół ponadgimnazjalnych ogólnych. Jeśli Wnioskodawca nie ma możliwości wykazania kosztów w podziale na  szkołę ponadgimnazjalną zawodową/szkołę ponadgimnazjalną ogólną  należy określić procentowy udział powierzchni użytkowej związanej z prowadzeniem działalności szkoły ponadgimnazjalnej ogólnej w całkowitej powierzchni użytkowej budynku. Następnie należy wg uzyskanej proporcji obniżyć wydatki kwalifikowalne.</w:t>
      </w:r>
    </w:p>
  </w:footnote>
  <w:footnote w:id="73">
    <w:p w14:paraId="57211A3D" w14:textId="30C81FB6" w:rsidR="00321E4D" w:rsidRDefault="00321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95C0A">
        <w:t xml:space="preserve">Dotyczy konkursów ogłaszanych do dnia 21.05.2018 r. </w:t>
      </w:r>
      <w:r>
        <w:t xml:space="preserve">oraz konkursu ogłaszanego 20.12.2019 r. </w:t>
      </w:r>
      <w:r w:rsidRPr="00995C0A">
        <w:t>Dla konkursów ogłaszanych po 21.05.2018 r. – zapis nieobowiązujący</w:t>
      </w:r>
      <w:r>
        <w:t xml:space="preserve"> </w:t>
      </w:r>
      <w:r w:rsidRPr="002F17A7">
        <w:t xml:space="preserve"> </w:t>
      </w:r>
      <w:r>
        <w:t xml:space="preserve">(w </w:t>
      </w:r>
      <w:r w:rsidRPr="002F17A7">
        <w:t>przypadku konkursu ogłaszanego 20.12.2019 r. – zapis obowiązujący</w:t>
      </w:r>
      <w:r>
        <w:t>)</w:t>
      </w:r>
      <w:r w:rsidRPr="00995C0A">
        <w:t>.</w:t>
      </w:r>
    </w:p>
  </w:footnote>
  <w:footnote w:id="74">
    <w:p w14:paraId="0D272077" w14:textId="000DA3B5" w:rsidR="00321E4D" w:rsidRDefault="00321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Times New Roman"/>
        </w:rPr>
        <w:t xml:space="preserve">W naborach na szkolnictwo zawodowe (dotyczy konkursów </w:t>
      </w:r>
      <w:r>
        <w:t>ogłaszanych od 20.12.2019 r.)</w:t>
      </w:r>
      <w:r>
        <w:rPr>
          <w:rFonts w:eastAsia="Times New Roman" w:cs="Times New Roman"/>
        </w:rPr>
        <w:t xml:space="preserve"> w przypadku zespołów szkół specjalnych </w:t>
      </w:r>
      <w:r w:rsidRPr="00A9043C">
        <w:rPr>
          <w:rFonts w:eastAsia="Times New Roman" w:cs="Times New Roman"/>
        </w:rPr>
        <w:t xml:space="preserve">możliwe jest sfinansowanie w ramach projektu </w:t>
      </w:r>
      <w:r w:rsidRPr="00C61726">
        <w:rPr>
          <w:rFonts w:eastAsia="Times New Roman" w:cs="Times New Roman"/>
          <w:b/>
        </w:rPr>
        <w:t>części wspólnych budynku</w:t>
      </w:r>
      <w:r w:rsidRPr="00A9043C">
        <w:rPr>
          <w:rFonts w:eastAsia="Times New Roman" w:cs="Times New Roman"/>
        </w:rPr>
        <w:t>, w który</w:t>
      </w:r>
      <w:r>
        <w:rPr>
          <w:rFonts w:eastAsia="Times New Roman" w:cs="Times New Roman"/>
        </w:rPr>
        <w:t>ch</w:t>
      </w:r>
      <w:r w:rsidRPr="00A9043C">
        <w:rPr>
          <w:rFonts w:eastAsia="Times New Roman" w:cs="Times New Roman"/>
        </w:rPr>
        <w:t xml:space="preserve"> prowadzone jest kształcenie ogólne (także na poziomie podstawowym), np. sali gimnastycznej, korytarza, dachu.</w:t>
      </w:r>
      <w:r>
        <w:rPr>
          <w:rFonts w:eastAsia="Times New Roman" w:cs="Times New Roman"/>
        </w:rPr>
        <w:t xml:space="preserve"> </w:t>
      </w:r>
    </w:p>
  </w:footnote>
  <w:footnote w:id="75">
    <w:p w14:paraId="2BF8703A" w14:textId="77777777" w:rsidR="00321E4D" w:rsidRPr="00013AFB" w:rsidRDefault="00321E4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</w:t>
      </w:r>
      <w:r>
        <w:t>16</w:t>
      </w:r>
      <w:r w:rsidRPr="00013AFB">
        <w:t>.0</w:t>
      </w:r>
      <w:r>
        <w:t>1</w:t>
      </w:r>
      <w:r w:rsidRPr="00013AFB">
        <w:t>.201</w:t>
      </w:r>
      <w:r>
        <w:t>7</w:t>
      </w:r>
      <w:r w:rsidRPr="00013AFB">
        <w:t xml:space="preserve"> r. – zapis nieobowiązujący.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850"/>
    <w:multiLevelType w:val="hybridMultilevel"/>
    <w:tmpl w:val="7D0E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2880"/>
    <w:multiLevelType w:val="hybridMultilevel"/>
    <w:tmpl w:val="01D6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7700E"/>
    <w:multiLevelType w:val="hybridMultilevel"/>
    <w:tmpl w:val="1BC8510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95778EF"/>
    <w:multiLevelType w:val="hybridMultilevel"/>
    <w:tmpl w:val="599E6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24C0F"/>
    <w:multiLevelType w:val="hybridMultilevel"/>
    <w:tmpl w:val="4EE61E24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B7749"/>
    <w:multiLevelType w:val="hybridMultilevel"/>
    <w:tmpl w:val="D7A0CA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7663"/>
    <w:multiLevelType w:val="hybridMultilevel"/>
    <w:tmpl w:val="0980E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E1B3F"/>
    <w:multiLevelType w:val="hybridMultilevel"/>
    <w:tmpl w:val="D9B46634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E30F5"/>
    <w:multiLevelType w:val="hybridMultilevel"/>
    <w:tmpl w:val="EBCC6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333AE"/>
    <w:multiLevelType w:val="hybridMultilevel"/>
    <w:tmpl w:val="9FC02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F2E43"/>
    <w:multiLevelType w:val="hybridMultilevel"/>
    <w:tmpl w:val="FAA2B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75ADB"/>
    <w:multiLevelType w:val="hybridMultilevel"/>
    <w:tmpl w:val="A16AF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74EF6"/>
    <w:multiLevelType w:val="hybridMultilevel"/>
    <w:tmpl w:val="9092B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A0A62"/>
    <w:multiLevelType w:val="hybridMultilevel"/>
    <w:tmpl w:val="54629B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113FC4"/>
    <w:multiLevelType w:val="hybridMultilevel"/>
    <w:tmpl w:val="46FCB3F0"/>
    <w:lvl w:ilvl="0" w:tplc="AE906B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F7EFC"/>
    <w:multiLevelType w:val="hybridMultilevel"/>
    <w:tmpl w:val="B152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30AD"/>
    <w:multiLevelType w:val="hybridMultilevel"/>
    <w:tmpl w:val="35D0F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D530A"/>
    <w:multiLevelType w:val="hybridMultilevel"/>
    <w:tmpl w:val="B5924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027DE"/>
    <w:multiLevelType w:val="hybridMultilevel"/>
    <w:tmpl w:val="38D46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955C7"/>
    <w:multiLevelType w:val="hybridMultilevel"/>
    <w:tmpl w:val="BE0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07BC8"/>
    <w:multiLevelType w:val="hybridMultilevel"/>
    <w:tmpl w:val="ECA29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F03AF"/>
    <w:multiLevelType w:val="hybridMultilevel"/>
    <w:tmpl w:val="C2887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D1F17"/>
    <w:multiLevelType w:val="hybridMultilevel"/>
    <w:tmpl w:val="D1ECCC1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1B42B8A"/>
    <w:multiLevelType w:val="hybridMultilevel"/>
    <w:tmpl w:val="47D06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54148"/>
    <w:multiLevelType w:val="hybridMultilevel"/>
    <w:tmpl w:val="3E4C6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BB7E3B"/>
    <w:multiLevelType w:val="hybridMultilevel"/>
    <w:tmpl w:val="BE0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674E9"/>
    <w:multiLevelType w:val="hybridMultilevel"/>
    <w:tmpl w:val="D5885F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8931EF"/>
    <w:multiLevelType w:val="hybridMultilevel"/>
    <w:tmpl w:val="CE0E79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BC13F84"/>
    <w:multiLevelType w:val="hybridMultilevel"/>
    <w:tmpl w:val="BE0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77B6B"/>
    <w:multiLevelType w:val="hybridMultilevel"/>
    <w:tmpl w:val="F40CF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92E16"/>
    <w:multiLevelType w:val="hybridMultilevel"/>
    <w:tmpl w:val="9FAE8056"/>
    <w:lvl w:ilvl="0" w:tplc="04150017">
      <w:start w:val="1"/>
      <w:numFmt w:val="lowerLetter"/>
      <w:lvlText w:val="%1)"/>
      <w:lvlJc w:val="left"/>
      <w:pPr>
        <w:tabs>
          <w:tab w:val="num" w:pos="1627"/>
        </w:tabs>
        <w:ind w:left="162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31" w15:restartNumberingAfterBreak="0">
    <w:nsid w:val="6BAC0153"/>
    <w:multiLevelType w:val="hybridMultilevel"/>
    <w:tmpl w:val="A2CA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D0D56"/>
    <w:multiLevelType w:val="hybridMultilevel"/>
    <w:tmpl w:val="BEEC1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2C78A9"/>
    <w:multiLevelType w:val="hybridMultilevel"/>
    <w:tmpl w:val="9532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1122A"/>
    <w:multiLevelType w:val="hybridMultilevel"/>
    <w:tmpl w:val="05C22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419E6"/>
    <w:multiLevelType w:val="hybridMultilevel"/>
    <w:tmpl w:val="0550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62EAC"/>
    <w:multiLevelType w:val="hybridMultilevel"/>
    <w:tmpl w:val="C6D8D4BE"/>
    <w:lvl w:ilvl="0" w:tplc="1FC643B8">
      <w:start w:val="1"/>
      <w:numFmt w:val="upperLetter"/>
      <w:lvlText w:val="4.4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40B98"/>
    <w:multiLevelType w:val="hybridMultilevel"/>
    <w:tmpl w:val="0A328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C56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20413"/>
    <w:multiLevelType w:val="hybridMultilevel"/>
    <w:tmpl w:val="0E40F8E0"/>
    <w:lvl w:ilvl="0" w:tplc="391C71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E439F"/>
    <w:multiLevelType w:val="hybridMultilevel"/>
    <w:tmpl w:val="950EB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1"/>
  </w:num>
  <w:num w:numId="6">
    <w:abstractNumId w:val="15"/>
  </w:num>
  <w:num w:numId="7">
    <w:abstractNumId w:val="0"/>
  </w:num>
  <w:num w:numId="8">
    <w:abstractNumId w:val="10"/>
  </w:num>
  <w:num w:numId="9">
    <w:abstractNumId w:val="35"/>
  </w:num>
  <w:num w:numId="10">
    <w:abstractNumId w:val="23"/>
  </w:num>
  <w:num w:numId="11">
    <w:abstractNumId w:val="17"/>
  </w:num>
  <w:num w:numId="12">
    <w:abstractNumId w:val="16"/>
  </w:num>
  <w:num w:numId="13">
    <w:abstractNumId w:val="33"/>
  </w:num>
  <w:num w:numId="14">
    <w:abstractNumId w:val="8"/>
  </w:num>
  <w:num w:numId="15">
    <w:abstractNumId w:val="27"/>
  </w:num>
  <w:num w:numId="16">
    <w:abstractNumId w:val="31"/>
  </w:num>
  <w:num w:numId="17">
    <w:abstractNumId w:val="29"/>
  </w:num>
  <w:num w:numId="18">
    <w:abstractNumId w:val="34"/>
  </w:num>
  <w:num w:numId="19">
    <w:abstractNumId w:val="22"/>
  </w:num>
  <w:num w:numId="20">
    <w:abstractNumId w:val="13"/>
  </w:num>
  <w:num w:numId="21">
    <w:abstractNumId w:val="6"/>
  </w:num>
  <w:num w:numId="22">
    <w:abstractNumId w:val="2"/>
  </w:num>
  <w:num w:numId="23">
    <w:abstractNumId w:val="26"/>
  </w:num>
  <w:num w:numId="24">
    <w:abstractNumId w:val="32"/>
  </w:num>
  <w:num w:numId="25">
    <w:abstractNumId w:val="7"/>
  </w:num>
  <w:num w:numId="26">
    <w:abstractNumId w:val="30"/>
  </w:num>
  <w:num w:numId="27">
    <w:abstractNumId w:val="14"/>
  </w:num>
  <w:num w:numId="28">
    <w:abstractNumId w:val="18"/>
  </w:num>
  <w:num w:numId="29">
    <w:abstractNumId w:val="38"/>
  </w:num>
  <w:num w:numId="30">
    <w:abstractNumId w:val="37"/>
  </w:num>
  <w:num w:numId="31">
    <w:abstractNumId w:val="0"/>
  </w:num>
  <w:num w:numId="32">
    <w:abstractNumId w:val="9"/>
  </w:num>
  <w:num w:numId="33">
    <w:abstractNumId w:val="24"/>
  </w:num>
  <w:num w:numId="34">
    <w:abstractNumId w:val="5"/>
  </w:num>
  <w:num w:numId="35">
    <w:abstractNumId w:val="28"/>
  </w:num>
  <w:num w:numId="36">
    <w:abstractNumId w:val="39"/>
  </w:num>
  <w:num w:numId="37">
    <w:abstractNumId w:val="19"/>
  </w:num>
  <w:num w:numId="38">
    <w:abstractNumId w:val="25"/>
  </w:num>
  <w:num w:numId="39">
    <w:abstractNumId w:val="21"/>
  </w:num>
  <w:num w:numId="40">
    <w:abstractNumId w:val="36"/>
  </w:num>
  <w:num w:numId="41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6B"/>
    <w:rsid w:val="00004867"/>
    <w:rsid w:val="00004C9E"/>
    <w:rsid w:val="0000607D"/>
    <w:rsid w:val="00006885"/>
    <w:rsid w:val="000073EF"/>
    <w:rsid w:val="0001063D"/>
    <w:rsid w:val="00011EB2"/>
    <w:rsid w:val="00013AFB"/>
    <w:rsid w:val="0001438D"/>
    <w:rsid w:val="00014B07"/>
    <w:rsid w:val="00015494"/>
    <w:rsid w:val="0002135C"/>
    <w:rsid w:val="000246BF"/>
    <w:rsid w:val="00025329"/>
    <w:rsid w:val="0003417B"/>
    <w:rsid w:val="0003532D"/>
    <w:rsid w:val="00042236"/>
    <w:rsid w:val="00052188"/>
    <w:rsid w:val="00052964"/>
    <w:rsid w:val="00052D63"/>
    <w:rsid w:val="00060332"/>
    <w:rsid w:val="000608D2"/>
    <w:rsid w:val="000659B6"/>
    <w:rsid w:val="00066EE6"/>
    <w:rsid w:val="00083768"/>
    <w:rsid w:val="00083CEF"/>
    <w:rsid w:val="00084916"/>
    <w:rsid w:val="00084C67"/>
    <w:rsid w:val="00084D56"/>
    <w:rsid w:val="0008638F"/>
    <w:rsid w:val="000906B8"/>
    <w:rsid w:val="00093E1E"/>
    <w:rsid w:val="0009794A"/>
    <w:rsid w:val="000A1413"/>
    <w:rsid w:val="000A18F7"/>
    <w:rsid w:val="000A19EB"/>
    <w:rsid w:val="000A53A4"/>
    <w:rsid w:val="000B01E1"/>
    <w:rsid w:val="000B0270"/>
    <w:rsid w:val="000B4D29"/>
    <w:rsid w:val="000C3A67"/>
    <w:rsid w:val="000C582F"/>
    <w:rsid w:val="000C763D"/>
    <w:rsid w:val="000D0455"/>
    <w:rsid w:val="000D0C61"/>
    <w:rsid w:val="000D1933"/>
    <w:rsid w:val="000D51E7"/>
    <w:rsid w:val="000E0CA5"/>
    <w:rsid w:val="000E1A11"/>
    <w:rsid w:val="000E7698"/>
    <w:rsid w:val="000F001B"/>
    <w:rsid w:val="000F27B2"/>
    <w:rsid w:val="000F49C6"/>
    <w:rsid w:val="000F7BBA"/>
    <w:rsid w:val="000F7BCE"/>
    <w:rsid w:val="0010120B"/>
    <w:rsid w:val="00101EF8"/>
    <w:rsid w:val="00102960"/>
    <w:rsid w:val="00102DDD"/>
    <w:rsid w:val="00103C88"/>
    <w:rsid w:val="00105CE8"/>
    <w:rsid w:val="001113B7"/>
    <w:rsid w:val="001116F8"/>
    <w:rsid w:val="00111E58"/>
    <w:rsid w:val="00113C5E"/>
    <w:rsid w:val="001145A6"/>
    <w:rsid w:val="001149C0"/>
    <w:rsid w:val="00117082"/>
    <w:rsid w:val="001213D3"/>
    <w:rsid w:val="00122E9E"/>
    <w:rsid w:val="00133D89"/>
    <w:rsid w:val="00134C78"/>
    <w:rsid w:val="001360A7"/>
    <w:rsid w:val="00144BB9"/>
    <w:rsid w:val="00145381"/>
    <w:rsid w:val="00146477"/>
    <w:rsid w:val="00161A28"/>
    <w:rsid w:val="001639F2"/>
    <w:rsid w:val="00165F60"/>
    <w:rsid w:val="00166557"/>
    <w:rsid w:val="001678D7"/>
    <w:rsid w:val="00167C31"/>
    <w:rsid w:val="00170946"/>
    <w:rsid w:val="00171832"/>
    <w:rsid w:val="00171D56"/>
    <w:rsid w:val="00176EB7"/>
    <w:rsid w:val="001776F9"/>
    <w:rsid w:val="001802C5"/>
    <w:rsid w:val="0018241A"/>
    <w:rsid w:val="00185D4F"/>
    <w:rsid w:val="001864C1"/>
    <w:rsid w:val="00195883"/>
    <w:rsid w:val="00195F10"/>
    <w:rsid w:val="001A68EE"/>
    <w:rsid w:val="001B07A5"/>
    <w:rsid w:val="001B1966"/>
    <w:rsid w:val="001B53D6"/>
    <w:rsid w:val="001B568C"/>
    <w:rsid w:val="001B56C8"/>
    <w:rsid w:val="001B5A3E"/>
    <w:rsid w:val="001B7507"/>
    <w:rsid w:val="001C5E65"/>
    <w:rsid w:val="001D03FF"/>
    <w:rsid w:val="001D14A0"/>
    <w:rsid w:val="001D4A2D"/>
    <w:rsid w:val="001E1928"/>
    <w:rsid w:val="001E33E2"/>
    <w:rsid w:val="001E5257"/>
    <w:rsid w:val="001E5BD1"/>
    <w:rsid w:val="001F282A"/>
    <w:rsid w:val="001F2B8F"/>
    <w:rsid w:val="001F6903"/>
    <w:rsid w:val="001F7D9D"/>
    <w:rsid w:val="0020153F"/>
    <w:rsid w:val="00203B6D"/>
    <w:rsid w:val="0020624F"/>
    <w:rsid w:val="00210E35"/>
    <w:rsid w:val="002110F5"/>
    <w:rsid w:val="00211DDA"/>
    <w:rsid w:val="0021496F"/>
    <w:rsid w:val="00214A63"/>
    <w:rsid w:val="002160BC"/>
    <w:rsid w:val="00220284"/>
    <w:rsid w:val="00222BEE"/>
    <w:rsid w:val="0022532B"/>
    <w:rsid w:val="00225518"/>
    <w:rsid w:val="00230321"/>
    <w:rsid w:val="002312B7"/>
    <w:rsid w:val="00241E1E"/>
    <w:rsid w:val="00243F87"/>
    <w:rsid w:val="002464C4"/>
    <w:rsid w:val="00251E0F"/>
    <w:rsid w:val="0025620F"/>
    <w:rsid w:val="00261786"/>
    <w:rsid w:val="002618A4"/>
    <w:rsid w:val="00262CBA"/>
    <w:rsid w:val="002645BC"/>
    <w:rsid w:val="00267983"/>
    <w:rsid w:val="0028003C"/>
    <w:rsid w:val="002800FC"/>
    <w:rsid w:val="00283995"/>
    <w:rsid w:val="00285E19"/>
    <w:rsid w:val="002955DC"/>
    <w:rsid w:val="002A1E9F"/>
    <w:rsid w:val="002A3B5A"/>
    <w:rsid w:val="002B102C"/>
    <w:rsid w:val="002B7AA0"/>
    <w:rsid w:val="002C3185"/>
    <w:rsid w:val="002C5B11"/>
    <w:rsid w:val="002D017D"/>
    <w:rsid w:val="002D3C6C"/>
    <w:rsid w:val="002E02A1"/>
    <w:rsid w:val="002E0308"/>
    <w:rsid w:val="002E11F5"/>
    <w:rsid w:val="002E1FA9"/>
    <w:rsid w:val="002E2386"/>
    <w:rsid w:val="002E2DC5"/>
    <w:rsid w:val="002E341E"/>
    <w:rsid w:val="002E4C4C"/>
    <w:rsid w:val="002E69F4"/>
    <w:rsid w:val="002F108B"/>
    <w:rsid w:val="002F212C"/>
    <w:rsid w:val="002F2152"/>
    <w:rsid w:val="002F21B3"/>
    <w:rsid w:val="002F4911"/>
    <w:rsid w:val="002F5739"/>
    <w:rsid w:val="00300834"/>
    <w:rsid w:val="003049DC"/>
    <w:rsid w:val="00306106"/>
    <w:rsid w:val="003128AA"/>
    <w:rsid w:val="00312EA2"/>
    <w:rsid w:val="00315AD7"/>
    <w:rsid w:val="00316F35"/>
    <w:rsid w:val="00321E4D"/>
    <w:rsid w:val="003260E2"/>
    <w:rsid w:val="00330410"/>
    <w:rsid w:val="0033048A"/>
    <w:rsid w:val="0033340B"/>
    <w:rsid w:val="00333CB0"/>
    <w:rsid w:val="00333D42"/>
    <w:rsid w:val="00335251"/>
    <w:rsid w:val="0034312D"/>
    <w:rsid w:val="00344CB8"/>
    <w:rsid w:val="00345201"/>
    <w:rsid w:val="003463E9"/>
    <w:rsid w:val="00351541"/>
    <w:rsid w:val="0035191C"/>
    <w:rsid w:val="00352F66"/>
    <w:rsid w:val="0035767B"/>
    <w:rsid w:val="003636F1"/>
    <w:rsid w:val="003660EA"/>
    <w:rsid w:val="00366375"/>
    <w:rsid w:val="00370D86"/>
    <w:rsid w:val="00372F2E"/>
    <w:rsid w:val="003818AE"/>
    <w:rsid w:val="00384A7D"/>
    <w:rsid w:val="003852FD"/>
    <w:rsid w:val="003865F7"/>
    <w:rsid w:val="003873F4"/>
    <w:rsid w:val="003878D6"/>
    <w:rsid w:val="0039420B"/>
    <w:rsid w:val="0039514F"/>
    <w:rsid w:val="003A2235"/>
    <w:rsid w:val="003A2CB6"/>
    <w:rsid w:val="003A6B11"/>
    <w:rsid w:val="003A7603"/>
    <w:rsid w:val="003B0F95"/>
    <w:rsid w:val="003B200E"/>
    <w:rsid w:val="003B2988"/>
    <w:rsid w:val="003B5299"/>
    <w:rsid w:val="003B76E4"/>
    <w:rsid w:val="003C3DD4"/>
    <w:rsid w:val="003C461F"/>
    <w:rsid w:val="003C4F00"/>
    <w:rsid w:val="003C6712"/>
    <w:rsid w:val="003E0BB4"/>
    <w:rsid w:val="003E3046"/>
    <w:rsid w:val="003E5F09"/>
    <w:rsid w:val="003E6A54"/>
    <w:rsid w:val="003E740F"/>
    <w:rsid w:val="003F064E"/>
    <w:rsid w:val="003F0BE3"/>
    <w:rsid w:val="003F26A4"/>
    <w:rsid w:val="003F3E56"/>
    <w:rsid w:val="003F6BB8"/>
    <w:rsid w:val="00401E2F"/>
    <w:rsid w:val="0040430E"/>
    <w:rsid w:val="00405F6A"/>
    <w:rsid w:val="00420900"/>
    <w:rsid w:val="00424DB0"/>
    <w:rsid w:val="00431815"/>
    <w:rsid w:val="0043438C"/>
    <w:rsid w:val="00437EDB"/>
    <w:rsid w:val="00440827"/>
    <w:rsid w:val="00442ACB"/>
    <w:rsid w:val="004455BC"/>
    <w:rsid w:val="0044751A"/>
    <w:rsid w:val="00450CD0"/>
    <w:rsid w:val="0045119D"/>
    <w:rsid w:val="0045127E"/>
    <w:rsid w:val="00454E85"/>
    <w:rsid w:val="00455244"/>
    <w:rsid w:val="004560EA"/>
    <w:rsid w:val="00467A9A"/>
    <w:rsid w:val="004739A6"/>
    <w:rsid w:val="00474CDD"/>
    <w:rsid w:val="00476F64"/>
    <w:rsid w:val="004776FD"/>
    <w:rsid w:val="00480147"/>
    <w:rsid w:val="0048731C"/>
    <w:rsid w:val="004928C4"/>
    <w:rsid w:val="00492E18"/>
    <w:rsid w:val="004959BB"/>
    <w:rsid w:val="004968A6"/>
    <w:rsid w:val="004971D5"/>
    <w:rsid w:val="00497328"/>
    <w:rsid w:val="00497B20"/>
    <w:rsid w:val="004A2A2C"/>
    <w:rsid w:val="004A2B72"/>
    <w:rsid w:val="004B1544"/>
    <w:rsid w:val="004B266A"/>
    <w:rsid w:val="004B38E8"/>
    <w:rsid w:val="004B50A2"/>
    <w:rsid w:val="004E2152"/>
    <w:rsid w:val="004E3624"/>
    <w:rsid w:val="004E4F5F"/>
    <w:rsid w:val="004E5DB2"/>
    <w:rsid w:val="004E7B0C"/>
    <w:rsid w:val="004F01DC"/>
    <w:rsid w:val="005100D3"/>
    <w:rsid w:val="00513F17"/>
    <w:rsid w:val="00513FA5"/>
    <w:rsid w:val="0051723A"/>
    <w:rsid w:val="005207CF"/>
    <w:rsid w:val="00523226"/>
    <w:rsid w:val="005241F1"/>
    <w:rsid w:val="005241FD"/>
    <w:rsid w:val="00526548"/>
    <w:rsid w:val="00530FE3"/>
    <w:rsid w:val="00532933"/>
    <w:rsid w:val="0054205A"/>
    <w:rsid w:val="00543FDD"/>
    <w:rsid w:val="00550BB3"/>
    <w:rsid w:val="005513A3"/>
    <w:rsid w:val="005514D5"/>
    <w:rsid w:val="00556119"/>
    <w:rsid w:val="00564793"/>
    <w:rsid w:val="005648B6"/>
    <w:rsid w:val="00564B2E"/>
    <w:rsid w:val="005713F9"/>
    <w:rsid w:val="00571E01"/>
    <w:rsid w:val="00572698"/>
    <w:rsid w:val="00577616"/>
    <w:rsid w:val="00580F5D"/>
    <w:rsid w:val="00582835"/>
    <w:rsid w:val="0058440F"/>
    <w:rsid w:val="005862AC"/>
    <w:rsid w:val="00587278"/>
    <w:rsid w:val="005A05C2"/>
    <w:rsid w:val="005A1C33"/>
    <w:rsid w:val="005A293F"/>
    <w:rsid w:val="005A2AD0"/>
    <w:rsid w:val="005A2D3C"/>
    <w:rsid w:val="005A59A6"/>
    <w:rsid w:val="005A77B8"/>
    <w:rsid w:val="005B69D1"/>
    <w:rsid w:val="005C33F4"/>
    <w:rsid w:val="005C4AA9"/>
    <w:rsid w:val="005D0B21"/>
    <w:rsid w:val="005D6DC1"/>
    <w:rsid w:val="005E0959"/>
    <w:rsid w:val="005E6D8D"/>
    <w:rsid w:val="005E77EA"/>
    <w:rsid w:val="005F13D7"/>
    <w:rsid w:val="005F25CC"/>
    <w:rsid w:val="005F2AAC"/>
    <w:rsid w:val="006152C8"/>
    <w:rsid w:val="00616985"/>
    <w:rsid w:val="00617EF1"/>
    <w:rsid w:val="006322F0"/>
    <w:rsid w:val="006324CA"/>
    <w:rsid w:val="0064152C"/>
    <w:rsid w:val="00642E37"/>
    <w:rsid w:val="0064672B"/>
    <w:rsid w:val="006503C0"/>
    <w:rsid w:val="0065628C"/>
    <w:rsid w:val="00660501"/>
    <w:rsid w:val="00661694"/>
    <w:rsid w:val="00664239"/>
    <w:rsid w:val="00665823"/>
    <w:rsid w:val="006671F6"/>
    <w:rsid w:val="0066730D"/>
    <w:rsid w:val="00667A8B"/>
    <w:rsid w:val="00672D78"/>
    <w:rsid w:val="00673263"/>
    <w:rsid w:val="006740FC"/>
    <w:rsid w:val="006868A7"/>
    <w:rsid w:val="006902BC"/>
    <w:rsid w:val="00694CDD"/>
    <w:rsid w:val="00696403"/>
    <w:rsid w:val="0069710C"/>
    <w:rsid w:val="006A104F"/>
    <w:rsid w:val="006A5B75"/>
    <w:rsid w:val="006B4515"/>
    <w:rsid w:val="006B644D"/>
    <w:rsid w:val="006C1838"/>
    <w:rsid w:val="006C602E"/>
    <w:rsid w:val="006D1FF9"/>
    <w:rsid w:val="006D4ADA"/>
    <w:rsid w:val="006D56C0"/>
    <w:rsid w:val="006D610B"/>
    <w:rsid w:val="006D6172"/>
    <w:rsid w:val="006D7B9D"/>
    <w:rsid w:val="006E2D7B"/>
    <w:rsid w:val="006E42DC"/>
    <w:rsid w:val="006E71A1"/>
    <w:rsid w:val="006F0401"/>
    <w:rsid w:val="006F4601"/>
    <w:rsid w:val="00703141"/>
    <w:rsid w:val="00703557"/>
    <w:rsid w:val="00704FC5"/>
    <w:rsid w:val="0070672B"/>
    <w:rsid w:val="007120E2"/>
    <w:rsid w:val="00720BAA"/>
    <w:rsid w:val="007225B7"/>
    <w:rsid w:val="007341E5"/>
    <w:rsid w:val="00735BA3"/>
    <w:rsid w:val="00736F1D"/>
    <w:rsid w:val="00740D87"/>
    <w:rsid w:val="00743091"/>
    <w:rsid w:val="00746B7B"/>
    <w:rsid w:val="00751975"/>
    <w:rsid w:val="00751EAB"/>
    <w:rsid w:val="00757B00"/>
    <w:rsid w:val="00763C29"/>
    <w:rsid w:val="007668E1"/>
    <w:rsid w:val="00771350"/>
    <w:rsid w:val="00776AD7"/>
    <w:rsid w:val="007800B1"/>
    <w:rsid w:val="0078012E"/>
    <w:rsid w:val="00786F7B"/>
    <w:rsid w:val="0079275E"/>
    <w:rsid w:val="007942CF"/>
    <w:rsid w:val="007A0112"/>
    <w:rsid w:val="007A27A2"/>
    <w:rsid w:val="007A2810"/>
    <w:rsid w:val="007A77C8"/>
    <w:rsid w:val="007B483E"/>
    <w:rsid w:val="007B6812"/>
    <w:rsid w:val="007C18A2"/>
    <w:rsid w:val="007C4FA3"/>
    <w:rsid w:val="007C6813"/>
    <w:rsid w:val="007C6F69"/>
    <w:rsid w:val="007D39F6"/>
    <w:rsid w:val="007D41C6"/>
    <w:rsid w:val="007D58D4"/>
    <w:rsid w:val="007D7B4B"/>
    <w:rsid w:val="007F13DD"/>
    <w:rsid w:val="007F21DE"/>
    <w:rsid w:val="007F246F"/>
    <w:rsid w:val="00801880"/>
    <w:rsid w:val="0080714A"/>
    <w:rsid w:val="00807A53"/>
    <w:rsid w:val="0082055F"/>
    <w:rsid w:val="00821267"/>
    <w:rsid w:val="00823962"/>
    <w:rsid w:val="00823BE9"/>
    <w:rsid w:val="0082525C"/>
    <w:rsid w:val="00832700"/>
    <w:rsid w:val="008331B2"/>
    <w:rsid w:val="0083462E"/>
    <w:rsid w:val="00835141"/>
    <w:rsid w:val="00835AEC"/>
    <w:rsid w:val="008409C3"/>
    <w:rsid w:val="0084221D"/>
    <w:rsid w:val="00843D11"/>
    <w:rsid w:val="00854448"/>
    <w:rsid w:val="00854498"/>
    <w:rsid w:val="0085656D"/>
    <w:rsid w:val="00856BC5"/>
    <w:rsid w:val="00857AC0"/>
    <w:rsid w:val="00860533"/>
    <w:rsid w:val="00862CCA"/>
    <w:rsid w:val="008640C5"/>
    <w:rsid w:val="0086410B"/>
    <w:rsid w:val="0086480A"/>
    <w:rsid w:val="00864F31"/>
    <w:rsid w:val="00870C75"/>
    <w:rsid w:val="0087477B"/>
    <w:rsid w:val="00880E60"/>
    <w:rsid w:val="00886E70"/>
    <w:rsid w:val="00894767"/>
    <w:rsid w:val="0089612D"/>
    <w:rsid w:val="008A114E"/>
    <w:rsid w:val="008B1B4E"/>
    <w:rsid w:val="008C1CF1"/>
    <w:rsid w:val="008C40DC"/>
    <w:rsid w:val="008C55F5"/>
    <w:rsid w:val="008C79B5"/>
    <w:rsid w:val="008D002F"/>
    <w:rsid w:val="008D1920"/>
    <w:rsid w:val="008D303E"/>
    <w:rsid w:val="008D4275"/>
    <w:rsid w:val="008D669B"/>
    <w:rsid w:val="008E069B"/>
    <w:rsid w:val="008E2716"/>
    <w:rsid w:val="008E3EF3"/>
    <w:rsid w:val="008E5643"/>
    <w:rsid w:val="008F27E5"/>
    <w:rsid w:val="008F353D"/>
    <w:rsid w:val="008F410E"/>
    <w:rsid w:val="008F42E1"/>
    <w:rsid w:val="008F7051"/>
    <w:rsid w:val="008F7969"/>
    <w:rsid w:val="009051E5"/>
    <w:rsid w:val="009074A5"/>
    <w:rsid w:val="0091185F"/>
    <w:rsid w:val="00911BE4"/>
    <w:rsid w:val="00912FBD"/>
    <w:rsid w:val="0091649D"/>
    <w:rsid w:val="009165AA"/>
    <w:rsid w:val="009178E4"/>
    <w:rsid w:val="00921C21"/>
    <w:rsid w:val="00922EE0"/>
    <w:rsid w:val="009241EE"/>
    <w:rsid w:val="009261C8"/>
    <w:rsid w:val="009265A0"/>
    <w:rsid w:val="00931174"/>
    <w:rsid w:val="009311D0"/>
    <w:rsid w:val="009350A5"/>
    <w:rsid w:val="00936136"/>
    <w:rsid w:val="0094114D"/>
    <w:rsid w:val="00941D72"/>
    <w:rsid w:val="009429E9"/>
    <w:rsid w:val="00951123"/>
    <w:rsid w:val="00954E4C"/>
    <w:rsid w:val="0095520C"/>
    <w:rsid w:val="00956FC8"/>
    <w:rsid w:val="0096042C"/>
    <w:rsid w:val="0096096E"/>
    <w:rsid w:val="00961117"/>
    <w:rsid w:val="00961B4A"/>
    <w:rsid w:val="00964D42"/>
    <w:rsid w:val="00972A3D"/>
    <w:rsid w:val="00975738"/>
    <w:rsid w:val="0097611D"/>
    <w:rsid w:val="00981291"/>
    <w:rsid w:val="009828BB"/>
    <w:rsid w:val="00982B0D"/>
    <w:rsid w:val="00992B1E"/>
    <w:rsid w:val="00995C0A"/>
    <w:rsid w:val="009962EA"/>
    <w:rsid w:val="009964AC"/>
    <w:rsid w:val="0099764D"/>
    <w:rsid w:val="009A0121"/>
    <w:rsid w:val="009A053B"/>
    <w:rsid w:val="009A5E66"/>
    <w:rsid w:val="009B3E6D"/>
    <w:rsid w:val="009B65DB"/>
    <w:rsid w:val="009C18C1"/>
    <w:rsid w:val="009C40E3"/>
    <w:rsid w:val="009D5265"/>
    <w:rsid w:val="009D79D3"/>
    <w:rsid w:val="009E483C"/>
    <w:rsid w:val="009E58A1"/>
    <w:rsid w:val="009F021E"/>
    <w:rsid w:val="009F303C"/>
    <w:rsid w:val="009F4425"/>
    <w:rsid w:val="009F4AB2"/>
    <w:rsid w:val="009F5B41"/>
    <w:rsid w:val="009F7CF2"/>
    <w:rsid w:val="00A01EB2"/>
    <w:rsid w:val="00A031B5"/>
    <w:rsid w:val="00A055C8"/>
    <w:rsid w:val="00A0672F"/>
    <w:rsid w:val="00A070D7"/>
    <w:rsid w:val="00A072EE"/>
    <w:rsid w:val="00A12DBF"/>
    <w:rsid w:val="00A2094C"/>
    <w:rsid w:val="00A23F33"/>
    <w:rsid w:val="00A26918"/>
    <w:rsid w:val="00A30802"/>
    <w:rsid w:val="00A324DC"/>
    <w:rsid w:val="00A326B2"/>
    <w:rsid w:val="00A32D90"/>
    <w:rsid w:val="00A350AB"/>
    <w:rsid w:val="00A37DF3"/>
    <w:rsid w:val="00A37FB6"/>
    <w:rsid w:val="00A4175C"/>
    <w:rsid w:val="00A4186B"/>
    <w:rsid w:val="00A41909"/>
    <w:rsid w:val="00A46F45"/>
    <w:rsid w:val="00A476E8"/>
    <w:rsid w:val="00A47A68"/>
    <w:rsid w:val="00A5400B"/>
    <w:rsid w:val="00A542B7"/>
    <w:rsid w:val="00A55E66"/>
    <w:rsid w:val="00A56179"/>
    <w:rsid w:val="00A658F6"/>
    <w:rsid w:val="00A66044"/>
    <w:rsid w:val="00A67324"/>
    <w:rsid w:val="00A70007"/>
    <w:rsid w:val="00A73672"/>
    <w:rsid w:val="00A77673"/>
    <w:rsid w:val="00A778F1"/>
    <w:rsid w:val="00A82785"/>
    <w:rsid w:val="00A84477"/>
    <w:rsid w:val="00A8521C"/>
    <w:rsid w:val="00A866E2"/>
    <w:rsid w:val="00A93AE7"/>
    <w:rsid w:val="00AA1384"/>
    <w:rsid w:val="00AA5CF3"/>
    <w:rsid w:val="00AB2670"/>
    <w:rsid w:val="00AB3866"/>
    <w:rsid w:val="00AB3FFC"/>
    <w:rsid w:val="00AC4264"/>
    <w:rsid w:val="00AC51C3"/>
    <w:rsid w:val="00AD049A"/>
    <w:rsid w:val="00AD459A"/>
    <w:rsid w:val="00AD5D87"/>
    <w:rsid w:val="00AD788D"/>
    <w:rsid w:val="00AE3F41"/>
    <w:rsid w:val="00AE4042"/>
    <w:rsid w:val="00AF3312"/>
    <w:rsid w:val="00AF3591"/>
    <w:rsid w:val="00B000CD"/>
    <w:rsid w:val="00B0374E"/>
    <w:rsid w:val="00B04376"/>
    <w:rsid w:val="00B21109"/>
    <w:rsid w:val="00B250FA"/>
    <w:rsid w:val="00B2539D"/>
    <w:rsid w:val="00B27986"/>
    <w:rsid w:val="00B3047E"/>
    <w:rsid w:val="00B312B9"/>
    <w:rsid w:val="00B35721"/>
    <w:rsid w:val="00B3578B"/>
    <w:rsid w:val="00B37DFD"/>
    <w:rsid w:val="00B43F6B"/>
    <w:rsid w:val="00B46B35"/>
    <w:rsid w:val="00B46DBB"/>
    <w:rsid w:val="00B51850"/>
    <w:rsid w:val="00B63C7D"/>
    <w:rsid w:val="00B71741"/>
    <w:rsid w:val="00B722A5"/>
    <w:rsid w:val="00B73188"/>
    <w:rsid w:val="00B75AFB"/>
    <w:rsid w:val="00B779C7"/>
    <w:rsid w:val="00B857F0"/>
    <w:rsid w:val="00B922A1"/>
    <w:rsid w:val="00B9633E"/>
    <w:rsid w:val="00BA0A54"/>
    <w:rsid w:val="00BA1301"/>
    <w:rsid w:val="00BA34D4"/>
    <w:rsid w:val="00BA376B"/>
    <w:rsid w:val="00BA3CA1"/>
    <w:rsid w:val="00BA69A3"/>
    <w:rsid w:val="00BA69E1"/>
    <w:rsid w:val="00BA7DC6"/>
    <w:rsid w:val="00BB280D"/>
    <w:rsid w:val="00BB6C1F"/>
    <w:rsid w:val="00BB7BBA"/>
    <w:rsid w:val="00BC45D8"/>
    <w:rsid w:val="00BC602F"/>
    <w:rsid w:val="00BD54CF"/>
    <w:rsid w:val="00BE1B38"/>
    <w:rsid w:val="00BE4FB6"/>
    <w:rsid w:val="00BE755E"/>
    <w:rsid w:val="00BF17A3"/>
    <w:rsid w:val="00BF25CB"/>
    <w:rsid w:val="00BF6BA2"/>
    <w:rsid w:val="00BF7A1E"/>
    <w:rsid w:val="00C06A2E"/>
    <w:rsid w:val="00C10F6C"/>
    <w:rsid w:val="00C1514B"/>
    <w:rsid w:val="00C2714F"/>
    <w:rsid w:val="00C309B2"/>
    <w:rsid w:val="00C34307"/>
    <w:rsid w:val="00C40B9D"/>
    <w:rsid w:val="00C43638"/>
    <w:rsid w:val="00C5070A"/>
    <w:rsid w:val="00C5419D"/>
    <w:rsid w:val="00C543A1"/>
    <w:rsid w:val="00C569B0"/>
    <w:rsid w:val="00C61D29"/>
    <w:rsid w:val="00C71537"/>
    <w:rsid w:val="00C7298D"/>
    <w:rsid w:val="00C7490E"/>
    <w:rsid w:val="00C75DBF"/>
    <w:rsid w:val="00C7692F"/>
    <w:rsid w:val="00C833FC"/>
    <w:rsid w:val="00C878CC"/>
    <w:rsid w:val="00C92928"/>
    <w:rsid w:val="00C92E90"/>
    <w:rsid w:val="00C943B4"/>
    <w:rsid w:val="00C94C3C"/>
    <w:rsid w:val="00C963D4"/>
    <w:rsid w:val="00CA154F"/>
    <w:rsid w:val="00CA47D9"/>
    <w:rsid w:val="00CA76AF"/>
    <w:rsid w:val="00CA76E6"/>
    <w:rsid w:val="00CA7C2D"/>
    <w:rsid w:val="00CB18AB"/>
    <w:rsid w:val="00CB1B9E"/>
    <w:rsid w:val="00CC50C8"/>
    <w:rsid w:val="00CD30E3"/>
    <w:rsid w:val="00CD5727"/>
    <w:rsid w:val="00CE736E"/>
    <w:rsid w:val="00CF14EF"/>
    <w:rsid w:val="00CF1577"/>
    <w:rsid w:val="00CF48B5"/>
    <w:rsid w:val="00CF7558"/>
    <w:rsid w:val="00CF7737"/>
    <w:rsid w:val="00D05269"/>
    <w:rsid w:val="00D15BC4"/>
    <w:rsid w:val="00D20920"/>
    <w:rsid w:val="00D20FA1"/>
    <w:rsid w:val="00D22318"/>
    <w:rsid w:val="00D23BF3"/>
    <w:rsid w:val="00D2466E"/>
    <w:rsid w:val="00D3199B"/>
    <w:rsid w:val="00D347F2"/>
    <w:rsid w:val="00D34FFF"/>
    <w:rsid w:val="00D357F3"/>
    <w:rsid w:val="00D4055A"/>
    <w:rsid w:val="00D434AA"/>
    <w:rsid w:val="00D43D54"/>
    <w:rsid w:val="00D44A22"/>
    <w:rsid w:val="00D44C64"/>
    <w:rsid w:val="00D44C8D"/>
    <w:rsid w:val="00D45B3E"/>
    <w:rsid w:val="00D468AA"/>
    <w:rsid w:val="00D46B9F"/>
    <w:rsid w:val="00D57423"/>
    <w:rsid w:val="00D57C7F"/>
    <w:rsid w:val="00D57F01"/>
    <w:rsid w:val="00D60F14"/>
    <w:rsid w:val="00D71A33"/>
    <w:rsid w:val="00D82006"/>
    <w:rsid w:val="00D82864"/>
    <w:rsid w:val="00D82B9D"/>
    <w:rsid w:val="00D908D7"/>
    <w:rsid w:val="00D9091B"/>
    <w:rsid w:val="00D93AD2"/>
    <w:rsid w:val="00D96163"/>
    <w:rsid w:val="00D962FC"/>
    <w:rsid w:val="00D96C9F"/>
    <w:rsid w:val="00DA2D40"/>
    <w:rsid w:val="00DA4896"/>
    <w:rsid w:val="00DA6196"/>
    <w:rsid w:val="00DB22A0"/>
    <w:rsid w:val="00DB3EEB"/>
    <w:rsid w:val="00DB74FC"/>
    <w:rsid w:val="00DC0D5F"/>
    <w:rsid w:val="00DC344B"/>
    <w:rsid w:val="00DC41A5"/>
    <w:rsid w:val="00DC7B18"/>
    <w:rsid w:val="00DD0783"/>
    <w:rsid w:val="00DD5F4B"/>
    <w:rsid w:val="00DE269E"/>
    <w:rsid w:val="00DE4173"/>
    <w:rsid w:val="00DE67FD"/>
    <w:rsid w:val="00DE6FD6"/>
    <w:rsid w:val="00E02300"/>
    <w:rsid w:val="00E06B87"/>
    <w:rsid w:val="00E073CD"/>
    <w:rsid w:val="00E11787"/>
    <w:rsid w:val="00E16F00"/>
    <w:rsid w:val="00E17D76"/>
    <w:rsid w:val="00E20765"/>
    <w:rsid w:val="00E234B5"/>
    <w:rsid w:val="00E27863"/>
    <w:rsid w:val="00E27978"/>
    <w:rsid w:val="00E32EED"/>
    <w:rsid w:val="00E35143"/>
    <w:rsid w:val="00E36E16"/>
    <w:rsid w:val="00E41533"/>
    <w:rsid w:val="00E45E07"/>
    <w:rsid w:val="00E64BE0"/>
    <w:rsid w:val="00E669C7"/>
    <w:rsid w:val="00E7191F"/>
    <w:rsid w:val="00E71C56"/>
    <w:rsid w:val="00E727BD"/>
    <w:rsid w:val="00E74430"/>
    <w:rsid w:val="00E7606F"/>
    <w:rsid w:val="00E76550"/>
    <w:rsid w:val="00E828B9"/>
    <w:rsid w:val="00E8327F"/>
    <w:rsid w:val="00E90646"/>
    <w:rsid w:val="00E91B98"/>
    <w:rsid w:val="00E967B2"/>
    <w:rsid w:val="00E96BDE"/>
    <w:rsid w:val="00EA19D0"/>
    <w:rsid w:val="00EA3566"/>
    <w:rsid w:val="00EA3A7A"/>
    <w:rsid w:val="00EB09C6"/>
    <w:rsid w:val="00EB1E54"/>
    <w:rsid w:val="00EC2BAC"/>
    <w:rsid w:val="00EC3A76"/>
    <w:rsid w:val="00EC68AE"/>
    <w:rsid w:val="00ED4A1C"/>
    <w:rsid w:val="00ED53F6"/>
    <w:rsid w:val="00ED7D28"/>
    <w:rsid w:val="00EE0968"/>
    <w:rsid w:val="00EE25F0"/>
    <w:rsid w:val="00EE2FD1"/>
    <w:rsid w:val="00EE4FE6"/>
    <w:rsid w:val="00EF1FDC"/>
    <w:rsid w:val="00EF4269"/>
    <w:rsid w:val="00EF5114"/>
    <w:rsid w:val="00F02060"/>
    <w:rsid w:val="00F022FE"/>
    <w:rsid w:val="00F147DD"/>
    <w:rsid w:val="00F15451"/>
    <w:rsid w:val="00F1776C"/>
    <w:rsid w:val="00F2036F"/>
    <w:rsid w:val="00F24B7C"/>
    <w:rsid w:val="00F35FEC"/>
    <w:rsid w:val="00F4304F"/>
    <w:rsid w:val="00F550BE"/>
    <w:rsid w:val="00F55FA8"/>
    <w:rsid w:val="00F64A55"/>
    <w:rsid w:val="00F65196"/>
    <w:rsid w:val="00F67081"/>
    <w:rsid w:val="00F709E4"/>
    <w:rsid w:val="00F739EA"/>
    <w:rsid w:val="00F73E38"/>
    <w:rsid w:val="00F766F3"/>
    <w:rsid w:val="00F8165C"/>
    <w:rsid w:val="00F87A53"/>
    <w:rsid w:val="00F932E2"/>
    <w:rsid w:val="00F965DA"/>
    <w:rsid w:val="00F96969"/>
    <w:rsid w:val="00FA2DCA"/>
    <w:rsid w:val="00FA3C79"/>
    <w:rsid w:val="00FA65C9"/>
    <w:rsid w:val="00FA6BCC"/>
    <w:rsid w:val="00FB59C0"/>
    <w:rsid w:val="00FB624B"/>
    <w:rsid w:val="00FC0A69"/>
    <w:rsid w:val="00FC247E"/>
    <w:rsid w:val="00FC3DFA"/>
    <w:rsid w:val="00FC4BFD"/>
    <w:rsid w:val="00FD33F6"/>
    <w:rsid w:val="00FD3786"/>
    <w:rsid w:val="00FD76DE"/>
    <w:rsid w:val="00FD7775"/>
    <w:rsid w:val="00FE17BC"/>
    <w:rsid w:val="00FE685B"/>
    <w:rsid w:val="00FF172A"/>
    <w:rsid w:val="00FF4158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5E63"/>
  <w15:docId w15:val="{CDE7EA45-F85C-443E-BED7-3B14C8C5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616"/>
  </w:style>
  <w:style w:type="paragraph" w:styleId="Nagwek1">
    <w:name w:val="heading 1"/>
    <w:basedOn w:val="Normalny"/>
    <w:next w:val="Normalny"/>
    <w:link w:val="Nagwek1Znak"/>
    <w:uiPriority w:val="9"/>
    <w:qFormat/>
    <w:rsid w:val="00BA3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3F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68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76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A376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A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376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BA376B"/>
    <w:pPr>
      <w:tabs>
        <w:tab w:val="right" w:leader="dot" w:pos="9062"/>
      </w:tabs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A376B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BA376B"/>
    <w:pPr>
      <w:tabs>
        <w:tab w:val="right" w:leader="dot" w:pos="9062"/>
      </w:tabs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64C1"/>
  </w:style>
  <w:style w:type="paragraph" w:styleId="Stopka">
    <w:name w:val="footer"/>
    <w:basedOn w:val="Normalny"/>
    <w:link w:val="StopkaZnak"/>
    <w:uiPriority w:val="99"/>
    <w:unhideWhenUsed/>
    <w:rsid w:val="001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4C1"/>
  </w:style>
  <w:style w:type="paragraph" w:styleId="Akapitzlist">
    <w:name w:val="List Paragraph"/>
    <w:basedOn w:val="Normalny"/>
    <w:link w:val="AkapitzlistZnak"/>
    <w:uiPriority w:val="34"/>
    <w:qFormat/>
    <w:rsid w:val="001864C1"/>
    <w:pPr>
      <w:ind w:left="720"/>
      <w:contextualSpacing/>
    </w:pPr>
  </w:style>
  <w:style w:type="paragraph" w:customStyle="1" w:styleId="Default">
    <w:name w:val="Default"/>
    <w:rsid w:val="00182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D82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2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2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864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4209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42090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2090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23F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A23F33"/>
  </w:style>
  <w:style w:type="paragraph" w:styleId="Zwykytekst">
    <w:name w:val="Plain Text"/>
    <w:basedOn w:val="Normalny"/>
    <w:link w:val="ZwykytekstZnak"/>
    <w:uiPriority w:val="99"/>
    <w:unhideWhenUsed/>
    <w:rsid w:val="00A23F3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3F33"/>
    <w:rPr>
      <w:rFonts w:ascii="Calibri" w:hAnsi="Calibri"/>
      <w:szCs w:val="21"/>
    </w:rPr>
  </w:style>
  <w:style w:type="paragraph" w:customStyle="1" w:styleId="ZnakZnak4">
    <w:name w:val="Znak Znak4"/>
    <w:basedOn w:val="Normalny"/>
    <w:rsid w:val="0057269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ZnakZnak">
    <w:name w:val="Znak Znak"/>
    <w:basedOn w:val="Normalny"/>
    <w:rsid w:val="00B51850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kapit">
    <w:name w:val="Akapit"/>
    <w:basedOn w:val="Nagwek6"/>
    <w:rsid w:val="001A68EE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8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oprawka">
    <w:name w:val="Revision"/>
    <w:hidden/>
    <w:uiPriority w:val="99"/>
    <w:semiHidden/>
    <w:rsid w:val="0078012E"/>
    <w:pPr>
      <w:spacing w:after="0" w:line="240" w:lineRule="auto"/>
    </w:p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E71C56"/>
    <w:pPr>
      <w:keepNext/>
      <w:suppressAutoHyphens/>
      <w:spacing w:before="120" w:after="0" w:line="360" w:lineRule="auto"/>
      <w:jc w:val="center"/>
    </w:pPr>
    <w:rPr>
      <w:rFonts w:ascii="Times" w:eastAsiaTheme="minorHAnsi" w:hAnsi="Times" w:cs="Times New Roman"/>
      <w:b/>
      <w:bCs/>
      <w:caps/>
      <w:kern w:val="24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D5F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D5F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F4B"/>
    <w:rPr>
      <w:vertAlign w:val="superscript"/>
    </w:rPr>
  </w:style>
  <w:style w:type="table" w:styleId="Tabela-Siatka">
    <w:name w:val="Table Grid"/>
    <w:basedOn w:val="Standardowy"/>
    <w:uiPriority w:val="59"/>
    <w:rsid w:val="005265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A2D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CEE98-6EBB-418A-882D-2A02817D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29</Pages>
  <Words>9541</Words>
  <Characters>57246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ksiodmiak</dc:creator>
  <cp:lastModifiedBy>Agnieszka Fedyk</cp:lastModifiedBy>
  <cp:revision>10</cp:revision>
  <cp:lastPrinted>2020-03-13T08:23:00Z</cp:lastPrinted>
  <dcterms:created xsi:type="dcterms:W3CDTF">2020-01-22T07:59:00Z</dcterms:created>
  <dcterms:modified xsi:type="dcterms:W3CDTF">2020-03-30T11:54:00Z</dcterms:modified>
</cp:coreProperties>
</file>