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18"/>
        <w:gridCol w:w="1275"/>
        <w:gridCol w:w="1288"/>
      </w:tblGrid>
      <w:tr w:rsidR="00A77E5F" w:rsidRPr="00EF2500" w:rsidTr="00D71CBF">
        <w:trPr>
          <w:trHeight w:val="568"/>
        </w:trPr>
        <w:tc>
          <w:tcPr>
            <w:tcW w:w="3780" w:type="pct"/>
            <w:gridSpan w:val="2"/>
            <w:shd w:val="clear" w:color="000000" w:fill="EEECE1"/>
            <w:vAlign w:val="center"/>
            <w:hideMark/>
          </w:tcPr>
          <w:p w:rsidR="00A77E5F" w:rsidRPr="00EF2500" w:rsidRDefault="00CF1430" w:rsidP="00E067B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Wskaźniki</w:t>
            </w:r>
            <w:r w:rsidR="00E067B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6055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programowe</w:t>
            </w:r>
            <w:r w:rsidR="006904D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RPO WD 2014-2020</w:t>
            </w:r>
          </w:p>
        </w:tc>
        <w:tc>
          <w:tcPr>
            <w:tcW w:w="1220" w:type="pct"/>
            <w:gridSpan w:val="2"/>
            <w:shd w:val="clear" w:color="000000" w:fill="EEECE1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Wskaźniki Związku ZIT – Aglomeracji Jeleniogórskiej</w:t>
            </w:r>
          </w:p>
        </w:tc>
      </w:tr>
      <w:tr w:rsidR="00A77E5F" w:rsidRPr="00EF2500" w:rsidTr="00D71CBF">
        <w:trPr>
          <w:trHeight w:val="426"/>
        </w:trPr>
        <w:tc>
          <w:tcPr>
            <w:tcW w:w="3105" w:type="pct"/>
            <w:shd w:val="clear" w:color="000000" w:fill="C0C0C0"/>
            <w:vAlign w:val="center"/>
            <w:hideMark/>
          </w:tcPr>
          <w:p w:rsidR="00A77E5F" w:rsidRPr="00EF2500" w:rsidRDefault="00CF1430" w:rsidP="000E03C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Oś priorytetowa/Priorytet inwestycyjny/Działanie/Nazwa wskaźnika RPO WD 2014-2020</w:t>
            </w:r>
          </w:p>
        </w:tc>
        <w:tc>
          <w:tcPr>
            <w:tcW w:w="675" w:type="pct"/>
            <w:shd w:val="clear" w:color="000000" w:fill="C0C0C0"/>
            <w:vAlign w:val="center"/>
          </w:tcPr>
          <w:p w:rsidR="00A77E5F" w:rsidRPr="00EF2500" w:rsidRDefault="00CF1430" w:rsidP="00D71CB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Jednostka</w:t>
            </w:r>
          </w:p>
          <w:p w:rsidR="00A77E5F" w:rsidRPr="00EF2500" w:rsidRDefault="00CF1430" w:rsidP="00D71CB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miary</w:t>
            </w:r>
          </w:p>
        </w:tc>
        <w:tc>
          <w:tcPr>
            <w:tcW w:w="607" w:type="pct"/>
            <w:shd w:val="clear" w:color="000000" w:fill="C0C0C0"/>
            <w:vAlign w:val="center"/>
          </w:tcPr>
          <w:p w:rsidR="00A77E5F" w:rsidRPr="00EF2500" w:rsidRDefault="00CF1430" w:rsidP="00D71CB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Wartość pośrednia 2018 r.</w:t>
            </w:r>
          </w:p>
        </w:tc>
        <w:tc>
          <w:tcPr>
            <w:tcW w:w="613" w:type="pct"/>
            <w:shd w:val="clear" w:color="000000" w:fill="C0C0C0"/>
            <w:vAlign w:val="center"/>
          </w:tcPr>
          <w:p w:rsidR="00A77E5F" w:rsidRPr="00EF2500" w:rsidRDefault="00CF1430" w:rsidP="00D71CB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Wartość docelowa</w:t>
            </w:r>
          </w:p>
          <w:p w:rsidR="00194B81" w:rsidRPr="00EF2500" w:rsidRDefault="00CF1430" w:rsidP="00D71CB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2023 r.</w:t>
            </w:r>
          </w:p>
        </w:tc>
      </w:tr>
      <w:tr w:rsidR="00A77E5F" w:rsidRPr="00EF2500" w:rsidTr="00A77E5F">
        <w:trPr>
          <w:trHeight w:val="202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b/>
                <w:bCs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6"/>
              </w:rPr>
              <w:t>Przedsiębiorstwa i innowacje (EFRR)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1.3 Rozwój przedsiębiorczości (PI 3.1)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wspartych inkubatorów przedsiębiorczości</w:t>
            </w:r>
            <w:r w:rsidR="000B7569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EF284D" w:rsidRPr="00EF2500" w:rsidRDefault="00EF284D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4F10CE">
              <w:rPr>
                <w:i/>
                <w:color w:val="000000" w:themeColor="text1"/>
                <w:sz w:val="16"/>
                <w:szCs w:val="16"/>
              </w:rPr>
              <w:t xml:space="preserve">Powierzchnia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przygotowanych </w:t>
            </w:r>
            <w:r w:rsidRPr="004F10CE">
              <w:rPr>
                <w:i/>
                <w:color w:val="000000" w:themeColor="text1"/>
                <w:sz w:val="16"/>
                <w:szCs w:val="16"/>
              </w:rPr>
              <w:t xml:space="preserve"> terenów inwestycyjnych</w:t>
            </w:r>
          </w:p>
        </w:tc>
        <w:tc>
          <w:tcPr>
            <w:tcW w:w="675" w:type="pct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ha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13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b/>
                <w:i/>
                <w:color w:val="000000" w:themeColor="text1"/>
                <w:sz w:val="16"/>
                <w:szCs w:val="16"/>
              </w:rPr>
              <w:t>Liczba przedsiębiorstw otrzymujących wsparcie (CI 1)</w:t>
            </w:r>
            <w:r w:rsidR="000B7569">
              <w:rPr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b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i/>
                <w:color w:val="000000" w:themeColor="text1"/>
                <w:sz w:val="16"/>
              </w:rPr>
              <w:t>Przedsiębiorstwa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b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i/>
                <w:color w:val="000000" w:themeColor="text1"/>
                <w:sz w:val="16"/>
              </w:rPr>
              <w:t>5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b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i/>
                <w:color w:val="000000" w:themeColor="text1"/>
                <w:sz w:val="16"/>
              </w:rPr>
              <w:t>21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przedsiębiorstw otrzymujących wsparcie niefinansowe (CI 4)</w:t>
            </w:r>
            <w:r w:rsidR="000B7569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</w:tcPr>
          <w:p w:rsidR="00A77E5F" w:rsidRPr="00EF2500" w:rsidRDefault="00CF1430" w:rsidP="005A611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Przedsiębiorstwa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A611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21</w:t>
            </w:r>
          </w:p>
        </w:tc>
      </w:tr>
      <w:tr w:rsidR="00A77E5F" w:rsidRPr="00EF2500" w:rsidTr="00A77E5F">
        <w:trPr>
          <w:trHeight w:val="263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A77E5F" w:rsidRPr="00EF2500" w:rsidRDefault="00CF1430" w:rsidP="005C7B78">
            <w:pPr>
              <w:pStyle w:val="Bezodstpw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  <w:szCs w:val="16"/>
              </w:rPr>
              <w:t>Technologie informacyjno-komunikacyjne (EFRR)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pStyle w:val="Bezodstpw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  <w:szCs w:val="16"/>
              </w:rPr>
              <w:t>2.1 E-usługi publiczne (PI 2.3)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usług publicznych udostępnianych on-line o stopniu dojrzałości 3 – dwustronna interakcja</w:t>
            </w:r>
            <w:r w:rsidR="000B7569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9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podmiotów, które udostępniły on-line informacje sektora publicznego</w:t>
            </w:r>
            <w:r w:rsidR="000B7569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urzędów, które wdrożyły katalog rekomendacji dotyczących awansu cyfrowego</w:t>
            </w:r>
            <w:r w:rsidR="000B7569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</w:t>
            </w:r>
          </w:p>
        </w:tc>
      </w:tr>
      <w:tr w:rsidR="00A77E5F" w:rsidRPr="00EF2500" w:rsidTr="00A77E5F">
        <w:trPr>
          <w:trHeight w:val="284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  <w:szCs w:val="16"/>
              </w:rPr>
              <w:t>Gospodarka niskoemisyjna (EFRR)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3.3 Efektywność energetyczna w budynkach </w:t>
            </w:r>
            <w:r w:rsidR="006904D6">
              <w:rPr>
                <w:rFonts w:cs="Arial"/>
                <w:b/>
                <w:color w:val="000000" w:themeColor="text1"/>
                <w:sz w:val="16"/>
              </w:rPr>
              <w:t xml:space="preserve">użyteczności 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>publiczn</w:t>
            </w:r>
            <w:r w:rsidR="006904D6">
              <w:rPr>
                <w:rFonts w:cs="Arial"/>
                <w:b/>
                <w:color w:val="000000" w:themeColor="text1"/>
                <w:sz w:val="16"/>
              </w:rPr>
              <w:t>ej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 i sektorze mieszkaniowym (PI 4.3)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Powierzchnia użytkowa budynków poddanych termomodernizacji</w:t>
            </w:r>
            <w:r w:rsidR="000B7569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8 742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42 162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EF284D" w:rsidRPr="00EF2500" w:rsidRDefault="00EF7EDB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L</w:t>
            </w:r>
            <w:r w:rsidR="00EF284D" w:rsidRPr="00CF24C2">
              <w:rPr>
                <w:i/>
                <w:color w:val="000000" w:themeColor="text1"/>
                <w:sz w:val="16"/>
                <w:szCs w:val="16"/>
              </w:rPr>
              <w:t>iczba gospodarstw domowych z lepszą klasą zużycia energii (CI 31)</w:t>
            </w:r>
          </w:p>
        </w:tc>
        <w:tc>
          <w:tcPr>
            <w:tcW w:w="675" w:type="pct"/>
            <w:vAlign w:val="center"/>
          </w:tcPr>
          <w:p w:rsidR="00A77E5F" w:rsidRPr="00EF2500" w:rsidRDefault="00C83267" w:rsidP="00AC08F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190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Z</w:t>
            </w:r>
            <w:r w:rsidRPr="00CF24C2">
              <w:rPr>
                <w:i/>
                <w:color w:val="000000" w:themeColor="text1"/>
                <w:sz w:val="16"/>
                <w:szCs w:val="16"/>
              </w:rPr>
              <w:t>mniejszenie rocznego zużycia energii pierwotnej w budynkach publicznych (CI 32)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kWh/r</w:t>
            </w:r>
            <w:r w:rsidR="00C83267">
              <w:rPr>
                <w:i/>
                <w:color w:val="000000" w:themeColor="text1"/>
                <w:sz w:val="16"/>
                <w:szCs w:val="16"/>
              </w:rPr>
              <w:t>ok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2 448 500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2D16B6">
            <w:pPr>
              <w:pStyle w:val="Bezodstpw"/>
              <w:spacing w:line="276" w:lineRule="auto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S</w:t>
            </w:r>
            <w:r w:rsidRPr="00CF24C2">
              <w:rPr>
                <w:rFonts w:cs="Arial"/>
                <w:i/>
                <w:color w:val="000000" w:themeColor="text1"/>
                <w:sz w:val="16"/>
                <w:szCs w:val="16"/>
              </w:rPr>
              <w:t>zacowany roczny spadek emisji gazów cieplarnianych (CI 34)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  <w:szCs w:val="16"/>
              </w:rPr>
              <w:t>tony równoważnika CO2</w:t>
            </w:r>
            <w:r w:rsidR="00C83267">
              <w:rPr>
                <w:rFonts w:cs="Arial"/>
                <w:i/>
                <w:color w:val="000000" w:themeColor="text1"/>
                <w:sz w:val="16"/>
                <w:szCs w:val="16"/>
              </w:rPr>
              <w:t>/rok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569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3.4 Wdrażanie strategii niskoemisyjnych (PI 4.5)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2D16B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zmodernizowanych źródeł ciepła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130</w:t>
            </w:r>
          </w:p>
        </w:tc>
      </w:tr>
      <w:tr w:rsidR="00A77E5F" w:rsidRPr="00EF2500" w:rsidTr="00D71CBF">
        <w:trPr>
          <w:trHeight w:val="555"/>
        </w:trPr>
        <w:tc>
          <w:tcPr>
            <w:tcW w:w="3105" w:type="pct"/>
            <w:shd w:val="clear" w:color="auto" w:fill="auto"/>
            <w:vAlign w:val="center"/>
          </w:tcPr>
          <w:p w:rsidR="00F32266" w:rsidRPr="00F32266" w:rsidRDefault="00CF1430" w:rsidP="00F3226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F32266" w:rsidRPr="00EF2500" w:rsidRDefault="00F32266" w:rsidP="00F3226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S</w:t>
            </w:r>
            <w:r w:rsidRPr="00CF24C2">
              <w:rPr>
                <w:rFonts w:cs="Arial"/>
                <w:i/>
                <w:color w:val="000000" w:themeColor="text1"/>
                <w:sz w:val="16"/>
                <w:szCs w:val="16"/>
              </w:rPr>
              <w:t>zacowany roczny spadek emisji gazów cieplarnianych (CI 34)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tony równoważnika CO2</w:t>
            </w:r>
            <w:r w:rsidR="00C83267">
              <w:rPr>
                <w:i/>
                <w:color w:val="000000" w:themeColor="text1"/>
                <w:sz w:val="16"/>
                <w:szCs w:val="16"/>
              </w:rPr>
              <w:t>/rok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554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zakupionych lub zmodernizowanych jednostek taboru pasażerskiego w publicznym transporcie zbiorowym komunikacji miejskiej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12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Default="00A77E5F" w:rsidP="00E44255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  <w:p w:rsidR="0004474F" w:rsidRPr="00EF2500" w:rsidRDefault="0004474F" w:rsidP="00E44255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24C2">
              <w:rPr>
                <w:i/>
                <w:color w:val="000000" w:themeColor="text1"/>
                <w:sz w:val="16"/>
                <w:szCs w:val="16"/>
              </w:rPr>
              <w:t>Długość dróg dla rowerów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km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14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A77E5F" w:rsidRPr="00EF2500" w:rsidRDefault="00CF1430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wybudowanych obiektów „parkuj i jedź” - </w:t>
            </w:r>
          </w:p>
        </w:tc>
        <w:tc>
          <w:tcPr>
            <w:tcW w:w="675" w:type="pct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A1574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</w:t>
            </w:r>
          </w:p>
        </w:tc>
      </w:tr>
      <w:tr w:rsidR="00A77E5F" w:rsidRPr="00EF2500" w:rsidTr="00A77E5F">
        <w:trPr>
          <w:trHeight w:val="143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Środowisko i </w:t>
            </w:r>
            <w:r w:rsidRPr="00CF1430">
              <w:rPr>
                <w:rFonts w:cs="Arial"/>
                <w:b/>
                <w:color w:val="000000" w:themeColor="text1"/>
                <w:sz w:val="16"/>
                <w:szCs w:val="16"/>
              </w:rPr>
              <w:t>zasoby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 (EFRR)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4.2 Gospodarka wodno-ściekowa (PI 6.2)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D71CBF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Długość sieci kanalizacji sanitarnej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km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6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20</w:t>
            </w:r>
          </w:p>
        </w:tc>
      </w:tr>
      <w:tr w:rsidR="00A77E5F" w:rsidRPr="00EF2500" w:rsidTr="00D71CBF">
        <w:trPr>
          <w:trHeight w:val="174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D71CBF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Liczba dodatkowych osób korzystających z ulepszonego oczyszczania ścieków (CI 19)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Równoważna liczba mieszkańców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1 174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D71CBF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Liczba dodatkowych osób korzystających z ulepszonego zaopatrzenia w wodę (CI18)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509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4.3 Dziedzictwo kulturowe (PI 6.3)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3722B4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Liczba zabytków nieruchomych objętych wsparciem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AC08F8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 xml:space="preserve">Liczba instytucji kultury objętych wsparciem 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04474F" w:rsidRPr="00EF2500" w:rsidRDefault="00CF1430" w:rsidP="0004474F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 xml:space="preserve"> Wzrost oczekiwanej liczby odwiedzin w objętych wsparciem </w:t>
            </w:r>
            <w:r w:rsidR="009027A1">
              <w:rPr>
                <w:rFonts w:cs="Arial"/>
                <w:i/>
                <w:color w:val="000000" w:themeColor="text1"/>
                <w:sz w:val="16"/>
              </w:rPr>
              <w:t xml:space="preserve">miejscach należących do </w:t>
            </w:r>
            <w:r w:rsidRPr="00CF1430">
              <w:rPr>
                <w:rFonts w:cs="Arial"/>
                <w:i/>
                <w:color w:val="000000" w:themeColor="text1"/>
                <w:sz w:val="16"/>
              </w:rPr>
              <w:t xml:space="preserve"> dziedzictwa kulturowego i naturalnego oraz stanowiących atrakcje turystyczne (CI 19)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odwiedziny/rok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8 500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4.4 Ochrona i udostępnianie zasobów przyrodniczych  (PI 6.4)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3722B4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Liczba wspartych form ochrony przyrody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</w:t>
            </w:r>
          </w:p>
        </w:tc>
      </w:tr>
      <w:tr w:rsidR="00A77E5F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  <w:hideMark/>
          </w:tcPr>
          <w:p w:rsidR="00A77E5F" w:rsidRPr="00EF2500" w:rsidRDefault="00CF1430" w:rsidP="003722B4">
            <w:pPr>
              <w:spacing w:after="0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Powierzchnia siedlisk wspieranych w celu uzyskania lepszego statusu ochrony (CI 23)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9F2A9F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ha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11</w:t>
            </w:r>
          </w:p>
        </w:tc>
      </w:tr>
      <w:tr w:rsidR="00A77E5F" w:rsidRPr="00EF2500" w:rsidTr="00A77E5F">
        <w:trPr>
          <w:trHeight w:val="314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Transport (EFRR)</w:t>
            </w:r>
          </w:p>
        </w:tc>
      </w:tr>
      <w:tr w:rsidR="00A77E5F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A77E5F" w:rsidRPr="00EF2500" w:rsidRDefault="00CF1430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5.1 Drogowa dostępność transportowa (PI 7.2)</w:t>
            </w:r>
          </w:p>
        </w:tc>
      </w:tr>
      <w:tr w:rsidR="00A77E5F" w:rsidRPr="00EF2500" w:rsidTr="00D71CBF">
        <w:trPr>
          <w:trHeight w:val="217"/>
        </w:trPr>
        <w:tc>
          <w:tcPr>
            <w:tcW w:w="3105" w:type="pct"/>
            <w:shd w:val="clear" w:color="auto" w:fill="auto"/>
            <w:vAlign w:val="center"/>
          </w:tcPr>
          <w:p w:rsidR="00A77E5F" w:rsidRDefault="00CF1430" w:rsidP="00F40EA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9027A1" w:rsidRPr="00EF2500" w:rsidRDefault="009027A1" w:rsidP="00F40EA6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C</w:t>
            </w:r>
            <w:r w:rsidRPr="00136E33">
              <w:rPr>
                <w:i/>
                <w:color w:val="000000" w:themeColor="text1"/>
                <w:sz w:val="16"/>
                <w:szCs w:val="16"/>
              </w:rPr>
              <w:t>ałkowita długość nowych dróg (CI 13)</w:t>
            </w:r>
          </w:p>
        </w:tc>
        <w:tc>
          <w:tcPr>
            <w:tcW w:w="675" w:type="pct"/>
            <w:vAlign w:val="center"/>
          </w:tcPr>
          <w:p w:rsidR="00A77E5F" w:rsidRPr="00EF2500" w:rsidRDefault="00CF1430" w:rsidP="00F40EA6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km</w:t>
            </w:r>
          </w:p>
        </w:tc>
        <w:tc>
          <w:tcPr>
            <w:tcW w:w="607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A77E5F" w:rsidRPr="00EF2500" w:rsidRDefault="00CF1430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5,2</w:t>
            </w:r>
          </w:p>
        </w:tc>
      </w:tr>
      <w:tr w:rsidR="00F32266" w:rsidRPr="00EF2500" w:rsidTr="00A77E5F">
        <w:trPr>
          <w:trHeight w:val="216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Infrastruktura spójności społecznej (EFRR)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6.1 Inwestycje w infrastrukturę społeczną (PI 9.1)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5F5B67">
            <w:pPr>
              <w:pStyle w:val="Bezodstpw"/>
              <w:spacing w:line="276" w:lineRule="auto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wspartych obiektów, w których realizowane są usługi społeczne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F40EA6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9027A1" w:rsidRPr="000F3D4F" w:rsidRDefault="009027A1" w:rsidP="009027A1">
            <w:pPr>
              <w:pStyle w:val="Bezodstpw"/>
              <w:rPr>
                <w:i/>
                <w:color w:val="000000" w:themeColor="text1"/>
                <w:sz w:val="16"/>
                <w:szCs w:val="16"/>
              </w:rPr>
            </w:pPr>
            <w:r w:rsidRPr="000F3D4F">
              <w:rPr>
                <w:i/>
                <w:color w:val="000000" w:themeColor="text1"/>
                <w:sz w:val="16"/>
                <w:szCs w:val="16"/>
              </w:rPr>
              <w:t>Potencjał objętej wsparciem infrastruktury w zakresie opieki nad dziećmi lub</w:t>
            </w:r>
          </w:p>
          <w:p w:rsidR="009027A1" w:rsidRPr="00EF2500" w:rsidRDefault="009027A1" w:rsidP="009027A1">
            <w:pPr>
              <w:pStyle w:val="Bezodstpw"/>
              <w:spacing w:line="276" w:lineRule="auto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  <w:r w:rsidRPr="000F3D4F">
              <w:rPr>
                <w:i/>
                <w:color w:val="000000" w:themeColor="text1"/>
                <w:sz w:val="16"/>
                <w:szCs w:val="16"/>
              </w:rPr>
              <w:t>infrastruktury edukacyjnej (CI 35)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F40EA6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38</w:t>
            </w:r>
          </w:p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6.3 Rewitalizacja zdegradowanych obszarów (PI 9.2)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3722B4">
            <w:pPr>
              <w:spacing w:after="0"/>
              <w:rPr>
                <w:rFonts w:cs="Arial"/>
                <w:b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wspartych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 </w:t>
            </w:r>
            <w:r w:rsidRPr="00CF1430">
              <w:rPr>
                <w:i/>
                <w:color w:val="000000" w:themeColor="text1"/>
                <w:sz w:val="16"/>
                <w:szCs w:val="16"/>
              </w:rPr>
              <w:t>obiektów infrastruktury zlokalizowanych na rewitalizowanych obszarach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14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3722B4">
            <w:pPr>
              <w:spacing w:after="0"/>
              <w:rPr>
                <w:rFonts w:cs="Arial"/>
                <w:b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Rozwój obszarów</w:t>
            </w: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 </w:t>
            </w:r>
            <w:r w:rsidRPr="00CF1430">
              <w:rPr>
                <w:rFonts w:cs="Arial"/>
                <w:i/>
                <w:color w:val="000000" w:themeColor="text1"/>
                <w:sz w:val="16"/>
              </w:rPr>
              <w:t>miejskich: wyremontowane budynki mieszkalne na obszarach miejskich (CI 40)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11</w:t>
            </w:r>
          </w:p>
        </w:tc>
      </w:tr>
      <w:tr w:rsidR="00F32266" w:rsidRPr="00EF2500" w:rsidTr="00A77E5F">
        <w:trPr>
          <w:trHeight w:val="235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b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Infrastruktura edukacyjna (EFRR)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lastRenderedPageBreak/>
              <w:t>7.1 Inwestycje w edukację przedszkolną, podstawową i gimnazjalną (PI 10.4)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34B8" w:rsidRPr="000F3D4F" w:rsidRDefault="00F334B8" w:rsidP="00F334B8">
            <w:pPr>
              <w:pStyle w:val="Bezodstpw"/>
              <w:rPr>
                <w:i/>
                <w:color w:val="000000" w:themeColor="text1"/>
                <w:sz w:val="16"/>
                <w:szCs w:val="16"/>
              </w:rPr>
            </w:pPr>
            <w:r w:rsidRPr="000F3D4F">
              <w:rPr>
                <w:i/>
                <w:color w:val="000000" w:themeColor="text1"/>
                <w:sz w:val="16"/>
                <w:szCs w:val="16"/>
              </w:rPr>
              <w:t xml:space="preserve"> Potencjał objętej wsparciem infrastruktury w zakresie opieki nad dziećmi lub</w:t>
            </w:r>
          </w:p>
          <w:p w:rsidR="00F32266" w:rsidRPr="00EF2500" w:rsidRDefault="00F334B8" w:rsidP="00F334B8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F3D4F">
              <w:rPr>
                <w:i/>
                <w:color w:val="000000" w:themeColor="text1"/>
                <w:sz w:val="16"/>
                <w:szCs w:val="16"/>
              </w:rPr>
              <w:t>infrastruktury edukacyjnej (CI 35)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195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632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204669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wspartych obiektów infrastruktury przedszkolnej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wspartych obiektów infrastruktury edukacji ogólnej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użytkowników infrastruktury przedszkolne</w:t>
            </w:r>
            <w:r>
              <w:rPr>
                <w:i/>
                <w:color w:val="000000" w:themeColor="text1"/>
                <w:sz w:val="16"/>
                <w:szCs w:val="16"/>
              </w:rPr>
              <w:t>j</w:t>
            </w: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 wspartej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130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użytkowników infrastruktury edukacyjnej wspartej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417</w:t>
            </w:r>
          </w:p>
        </w:tc>
      </w:tr>
      <w:tr w:rsidR="00F32266" w:rsidRPr="00EF2500" w:rsidTr="00A77E5F">
        <w:trPr>
          <w:trHeight w:val="434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7.2 Inwestycje w edukację ponadgimnazjalną, w tym zawodową (PI 10.4)</w:t>
            </w:r>
          </w:p>
        </w:tc>
      </w:tr>
      <w:tr w:rsidR="00F32266" w:rsidRPr="00EF2500" w:rsidTr="00D71CBF">
        <w:trPr>
          <w:trHeight w:val="465"/>
        </w:trPr>
        <w:tc>
          <w:tcPr>
            <w:tcW w:w="3105" w:type="pct"/>
            <w:shd w:val="clear" w:color="auto" w:fill="auto"/>
            <w:vAlign w:val="center"/>
          </w:tcPr>
          <w:p w:rsidR="00F334B8" w:rsidRPr="000F3D4F" w:rsidRDefault="00F334B8" w:rsidP="00F334B8">
            <w:pPr>
              <w:pStyle w:val="Bezodstpw"/>
              <w:rPr>
                <w:i/>
                <w:color w:val="000000" w:themeColor="text1"/>
                <w:sz w:val="16"/>
                <w:szCs w:val="16"/>
              </w:rPr>
            </w:pPr>
            <w:r w:rsidRPr="000F3D4F">
              <w:rPr>
                <w:i/>
                <w:color w:val="000000" w:themeColor="text1"/>
                <w:sz w:val="16"/>
                <w:szCs w:val="16"/>
              </w:rPr>
              <w:t xml:space="preserve"> Potencjał objętej wsparciem infrastruktury w zakresie opieki nad dziećmi lub</w:t>
            </w:r>
          </w:p>
          <w:p w:rsidR="00F32266" w:rsidRPr="00EF2500" w:rsidRDefault="00F334B8" w:rsidP="00F334B8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F3D4F">
              <w:rPr>
                <w:i/>
                <w:color w:val="000000" w:themeColor="text1"/>
                <w:sz w:val="16"/>
                <w:szCs w:val="16"/>
              </w:rPr>
              <w:t>infrastruktury edukacyjnej (CI 35)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rFonts w:eastAsia="Calibri" w:cs="Tahoma"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139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451</w:t>
            </w:r>
          </w:p>
        </w:tc>
      </w:tr>
      <w:tr w:rsidR="00F32266" w:rsidRPr="00EF2500" w:rsidTr="00D71CBF">
        <w:trPr>
          <w:trHeight w:val="465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</w:p>
        </w:tc>
      </w:tr>
      <w:tr w:rsidR="00F32266" w:rsidRPr="00EF2500" w:rsidTr="00D71CBF">
        <w:trPr>
          <w:trHeight w:val="273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wspartych obiektów infrastruktury edukacji ogólnej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</w:t>
            </w:r>
          </w:p>
        </w:tc>
      </w:tr>
      <w:tr w:rsidR="00F32266" w:rsidRPr="00EF2500" w:rsidTr="00D71CBF">
        <w:trPr>
          <w:trHeight w:val="263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wspartych obiektów infrastruktury kształcenia zawodowego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</w:t>
            </w:r>
          </w:p>
        </w:tc>
      </w:tr>
      <w:tr w:rsidR="00F32266" w:rsidRPr="00EF2500" w:rsidTr="00D71CBF">
        <w:trPr>
          <w:trHeight w:val="267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użytkowników infrastruktury edukacyjnej wspartej w programie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106</w:t>
            </w:r>
          </w:p>
        </w:tc>
      </w:tr>
      <w:tr w:rsidR="00F32266" w:rsidRPr="00EF2500" w:rsidTr="00D71CBF">
        <w:trPr>
          <w:trHeight w:val="285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Liczba użytkowników infrastruktury kształcenia zawodowego wspartej w programie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367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b/>
                <w:bCs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6"/>
              </w:rPr>
              <w:t>Rynek pracy (EFS)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F32266" w:rsidRPr="00EF2500" w:rsidRDefault="00F32266" w:rsidP="007159EE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Działanie SZOOP 8.4Godzenie życia zawodowego i prywatnego 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osób, które powróciły na rynek pracy po przerwie związanej z urodzeniem/ wychowaniem dziecka, po opuszczeniu programu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48%</w:t>
            </w:r>
          </w:p>
        </w:tc>
      </w:tr>
      <w:tr w:rsidR="00F32266" w:rsidRPr="00EF2500" w:rsidTr="00D71CBF">
        <w:trPr>
          <w:trHeight w:val="405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pozostających bez pracy, które znalazły pracę lub poszukują pracy po opuszczeniu programu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48%</w:t>
            </w:r>
          </w:p>
        </w:tc>
      </w:tr>
      <w:tr w:rsidR="00F32266" w:rsidRPr="00EF2500" w:rsidTr="00D71CBF">
        <w:trPr>
          <w:trHeight w:val="405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6055A">
              <w:rPr>
                <w:i/>
                <w:color w:val="000000" w:themeColor="text1"/>
                <w:sz w:val="16"/>
                <w:szCs w:val="16"/>
              </w:rPr>
              <w:t>Liczba utworzonych miejsc opieki nad dziećmi w wieku do lat 3, które funkcjonują 2 lata po uzyskaniu dofinansowania ze środków EFS</w:t>
            </w: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80%</w:t>
            </w:r>
          </w:p>
        </w:tc>
      </w:tr>
      <w:tr w:rsidR="00F32266" w:rsidRPr="00EF2500" w:rsidTr="00D71CBF">
        <w:trPr>
          <w:trHeight w:val="273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rFonts w:eastAsia="Calibri" w:cs="Tahoma"/>
                <w:b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Liczba osób opiekujących się dziećmi w wieku do lat 3 objętych wsparciem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D0546C">
            <w:pPr>
              <w:pStyle w:val="Bezodstpw"/>
              <w:jc w:val="center"/>
              <w:rPr>
                <w:rFonts w:eastAsia="Calibri" w:cs="Tahoma"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600</w:t>
            </w:r>
          </w:p>
        </w:tc>
      </w:tr>
      <w:tr w:rsidR="00F32266" w:rsidRPr="00EF2500" w:rsidTr="00D71CBF">
        <w:trPr>
          <w:trHeight w:val="278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rFonts w:eastAsia="Times New Roman"/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rFonts w:eastAsia="Times New Roman"/>
                <w:i/>
                <w:color w:val="000000" w:themeColor="text1"/>
                <w:sz w:val="16"/>
                <w:szCs w:val="16"/>
              </w:rPr>
              <w:t>Liczba utworzonych miejsc opieki nad dziećmi w wieku do lat 3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D0546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300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b/>
                <w:bCs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6"/>
              </w:rPr>
              <w:t>Włączenie społeczne (EFS)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F32266" w:rsidRPr="00EF2500" w:rsidRDefault="00F32266" w:rsidP="005C7B78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 xml:space="preserve">9.1 Aktywna integracja </w:t>
            </w:r>
          </w:p>
        </w:tc>
      </w:tr>
      <w:tr w:rsidR="00F32266" w:rsidRPr="00EF2500" w:rsidTr="00D71CBF">
        <w:trPr>
          <w:trHeight w:val="51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522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1 869</w:t>
            </w:r>
          </w:p>
        </w:tc>
      </w:tr>
      <w:tr w:rsidR="00F32266" w:rsidRPr="00EF2500" w:rsidTr="00D71CBF">
        <w:trPr>
          <w:trHeight w:val="267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z niepełnosprawnościami objętych wsparciem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366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12%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zagrożonych ubóstwem lub wykluczeniem społecznym poszukujących pracy po opuszczeniu programu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56%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20%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6055A">
              <w:rPr>
                <w:i/>
                <w:color w:val="000000" w:themeColor="text1"/>
                <w:sz w:val="16"/>
                <w:szCs w:val="16"/>
              </w:rPr>
              <w:t>Liczba osób zagrożonych ubóstwem lub wykluczeniem społecznym pracujących 6 miesięcy po opuszczeniu programu (łącznie z pracującymi na własny rachunek</w:t>
            </w:r>
            <w:r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B2023C">
            <w:pPr>
              <w:pStyle w:val="Bezodstpw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20%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F32266" w:rsidRPr="00EF2500" w:rsidRDefault="00F32266" w:rsidP="005C7B78">
            <w:pPr>
              <w:pStyle w:val="Bezodstpw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Działanie SZOOP 9.2 Dostęp do wysokiej jakości usług społecznych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3722B4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rFonts w:cs="Arial"/>
                <w:i/>
                <w:color w:val="000000" w:themeColor="text1"/>
                <w:sz w:val="16"/>
              </w:rPr>
            </w:pPr>
            <w:r w:rsidRPr="00CF1430">
              <w:rPr>
                <w:rFonts w:cs="Arial"/>
                <w:i/>
                <w:color w:val="000000" w:themeColor="text1"/>
                <w:sz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561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3722B4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wspartych w programie miejsc świadczenia usług społecznych, istniejących po zakończeniu projektu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pStyle w:val="Bezodstpw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pStyle w:val="Bezodstpw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pStyle w:val="Bezodstpw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color w:val="000000" w:themeColor="text1"/>
                <w:sz w:val="16"/>
                <w:szCs w:val="16"/>
              </w:rPr>
              <w:t>19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:rsidR="00F32266" w:rsidRPr="00EF2500" w:rsidRDefault="00F32266" w:rsidP="005C7B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bCs/>
                <w:color w:val="000000" w:themeColor="text1"/>
                <w:sz w:val="16"/>
              </w:rPr>
              <w:t>Edukacja (EFS)*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F32266" w:rsidRPr="00EF2500" w:rsidRDefault="00F32266" w:rsidP="00324B73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Działanie SZOOP 10.1 Zapewnienie równego dostępu do wysokiej jakości edukacji przedszkolnej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dzieci objętych w ramach programu dodatkowymi zajęciami zwiększającymi ich szanse edukacyjne w edukacji przedszkolnej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1 573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miejsc wychowania przedszkolnego dofinansowanych w programie 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156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418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nauczycieli objętych wsparciem w programie (dotyczy edukacji przedszkolnej)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43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115</w:t>
            </w:r>
          </w:p>
        </w:tc>
      </w:tr>
      <w:tr w:rsidR="00F32266" w:rsidRPr="0057406A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06055A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6055A">
              <w:rPr>
                <w:i/>
                <w:color w:val="000000" w:themeColor="text1"/>
                <w:sz w:val="16"/>
                <w:szCs w:val="16"/>
              </w:rPr>
              <w:t xml:space="preserve">Liczba miejsc wychowania przedszkolnego, które funkcjonują 2 lata po uzyskaniu dofinansowaniu ze środków EFS </w:t>
            </w:r>
          </w:p>
        </w:tc>
        <w:tc>
          <w:tcPr>
            <w:tcW w:w="675" w:type="pct"/>
            <w:vAlign w:val="center"/>
          </w:tcPr>
          <w:p w:rsidR="00F32266" w:rsidRPr="0006055A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06055A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06055A" w:rsidRDefault="00F32266" w:rsidP="005C7B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06055A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06055A" w:rsidRDefault="00F32266" w:rsidP="005C7B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06055A">
              <w:rPr>
                <w:rFonts w:cs="Arial"/>
                <w:color w:val="000000" w:themeColor="text1"/>
                <w:sz w:val="16"/>
              </w:rPr>
              <w:t>80%</w:t>
            </w:r>
          </w:p>
        </w:tc>
      </w:tr>
      <w:tr w:rsidR="00F32266" w:rsidRPr="0057406A" w:rsidTr="00D71CBF">
        <w:trPr>
          <w:trHeight w:val="241"/>
        </w:trPr>
        <w:tc>
          <w:tcPr>
            <w:tcW w:w="3105" w:type="pct"/>
            <w:shd w:val="clear" w:color="auto" w:fill="auto"/>
            <w:vAlign w:val="center"/>
          </w:tcPr>
          <w:p w:rsidR="00F32266" w:rsidRPr="0057406A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57406A">
              <w:rPr>
                <w:i/>
                <w:color w:val="000000" w:themeColor="text1"/>
                <w:sz w:val="16"/>
                <w:szCs w:val="16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675" w:type="pct"/>
            <w:vAlign w:val="center"/>
          </w:tcPr>
          <w:p w:rsidR="00F32266" w:rsidRPr="0057406A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57406A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57406A" w:rsidRDefault="00F32266" w:rsidP="005C7B78">
            <w:pPr>
              <w:jc w:val="center"/>
              <w:rPr>
                <w:color w:val="000000" w:themeColor="text1"/>
              </w:rPr>
            </w:pPr>
            <w:r w:rsidRPr="0057406A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57406A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57406A">
              <w:rPr>
                <w:rFonts w:cs="Arial"/>
                <w:color w:val="000000" w:themeColor="text1"/>
                <w:sz w:val="16"/>
              </w:rPr>
              <w:t>73%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F32266" w:rsidRPr="00EF2500" w:rsidRDefault="00F32266" w:rsidP="00324B73">
            <w:pPr>
              <w:spacing w:after="0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b/>
                <w:color w:val="000000" w:themeColor="text1"/>
                <w:sz w:val="16"/>
              </w:rPr>
              <w:t>Działanie SZOOP 10.2 Zapewnienie równego dostępu do wysokiej jakości edukacji podstawowej, gimnazjalnej i ponadgimnazjalnej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</w:tcPr>
          <w:p w:rsidR="00F32266" w:rsidRPr="00EF2500" w:rsidRDefault="00F32266" w:rsidP="00324B73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uczniów objętych wsparciem w zakresie rozwijania kompetencji kluczowych w programie 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1 376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3 694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</w:tcPr>
          <w:p w:rsidR="00F32266" w:rsidRPr="00EF2500" w:rsidRDefault="00F32266" w:rsidP="00324B73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nauczycieli objętych wsparciem w programie (dotyczy edukacji szkolnej)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43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115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lastRenderedPageBreak/>
              <w:t xml:space="preserve">Liczba nauczycieli objętych wsparciem z zakresu TIK  w programie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60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szkół, których pracownie przedmiotowe zostały doposażone w programie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17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46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szkół i placówek systemu oświaty wyposażonych w ramach programu w sprzęt TIK do prowadzenia zajęć edukacyjnych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20</w:t>
            </w:r>
          </w:p>
        </w:tc>
      </w:tr>
      <w:tr w:rsidR="00F32266" w:rsidRPr="00EF2500" w:rsidTr="00D71CBF">
        <w:trPr>
          <w:trHeight w:val="326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uczniów, którzy nabyli kompetencje kluczowe po opuszczeniu programu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jc w:val="center"/>
              <w:rPr>
                <w:color w:val="000000" w:themeColor="text1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67%</w:t>
            </w:r>
          </w:p>
        </w:tc>
      </w:tr>
      <w:tr w:rsidR="00F32266" w:rsidRPr="00EF2500" w:rsidTr="00D71CBF">
        <w:trPr>
          <w:trHeight w:val="332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jc w:val="center"/>
              <w:rPr>
                <w:color w:val="000000" w:themeColor="text1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73%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szkół, w których pracownie przedmiotowe wykorzystują doposażenie do prowadzenia zajęć edukacyjnych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jc w:val="center"/>
              <w:rPr>
                <w:color w:val="000000" w:themeColor="text1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93%</w:t>
            </w:r>
          </w:p>
        </w:tc>
      </w:tr>
      <w:tr w:rsidR="00F32266" w:rsidRPr="00EF2500" w:rsidTr="00D71CBF">
        <w:trPr>
          <w:trHeight w:val="273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6055A">
              <w:rPr>
                <w:i/>
                <w:color w:val="000000" w:themeColor="text1"/>
                <w:sz w:val="16"/>
                <w:szCs w:val="16"/>
              </w:rPr>
              <w:t>Liczba nauczycieli prowadzących zajęcia z wykorzystaniem TIK dzięki EFS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jc w:val="center"/>
              <w:rPr>
                <w:color w:val="000000" w:themeColor="text1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89%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szkół i placówek systemu oświaty wykorzystujących sprzęt TIK do prowadzenia zajęć edukacyjnych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324B73">
            <w:pPr>
              <w:jc w:val="center"/>
              <w:rPr>
                <w:color w:val="000000" w:themeColor="text1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324B73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37%</w:t>
            </w:r>
          </w:p>
        </w:tc>
      </w:tr>
      <w:tr w:rsidR="00F32266" w:rsidRPr="00EF2500" w:rsidTr="00A77E5F">
        <w:trPr>
          <w:trHeight w:val="31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:rsidR="00F32266" w:rsidRPr="00EF2500" w:rsidRDefault="00F32266" w:rsidP="00016797">
            <w:pPr>
              <w:pStyle w:val="Bezodstpw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F1430">
              <w:rPr>
                <w:b/>
                <w:color w:val="000000" w:themeColor="text1"/>
                <w:sz w:val="16"/>
                <w:szCs w:val="16"/>
              </w:rPr>
              <w:t>Działanie SZOOP 10.4 Dostosowanie systemów kształcenia i szkolenia zawodowego do potrzeb rynku pracy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Liczba osób uczestniczących w pozaszkolnych formach kształcenia w programie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400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nauczycieli kształcenia zawodowego oraz instruktorów praktycznej nauki zawodu objętych wsparciem w programie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72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uczniów szkół i placówek kształcenia zawodowego uczestniczących w stażach i praktykach u pracodawcy 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433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1 162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szkół i placówek kształcenia zawodowego doposażonych w programie w sprzęt i materiały dydaktyczne  niezbędne do realizacji kształcenia zawodowego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13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podmiotów realizujących zadania centrum kształcenia zawodowego i ustawicznego objętych wsparciem w programie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2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osób, które uzyskały kwalifikacje w ramach pozaszkolnych form kształcenia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30%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nauczycieli kształcenia zawodowego oraz instruktorów praktycznej nauki zawodu, którzy uzyskali kwalifikacje lub nabyli kompetencje po opuszczeniu programu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73%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EF2500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 xml:space="preserve">Liczba szkół i placówek kształcenia  zawodowego wykorzystujących doposażenie zakupione dzięki EFS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89%</w:t>
            </w:r>
          </w:p>
        </w:tc>
      </w:tr>
      <w:tr w:rsidR="00F32266" w:rsidRPr="00EF2500" w:rsidTr="00D71CBF">
        <w:trPr>
          <w:trHeight w:val="31"/>
        </w:trPr>
        <w:tc>
          <w:tcPr>
            <w:tcW w:w="3105" w:type="pct"/>
            <w:shd w:val="clear" w:color="auto" w:fill="auto"/>
            <w:vAlign w:val="center"/>
          </w:tcPr>
          <w:p w:rsidR="00F32266" w:rsidRPr="0006055A" w:rsidRDefault="00F32266" w:rsidP="00D71CBF">
            <w:pPr>
              <w:pStyle w:val="Bezodstpw"/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  <w:r w:rsidRPr="0006055A">
              <w:rPr>
                <w:i/>
                <w:color w:val="000000" w:themeColor="text1"/>
                <w:sz w:val="16"/>
                <w:szCs w:val="16"/>
              </w:rPr>
              <w:t>Liczba uczniów szkół i placówek  kształcenia zawodowego objętych wsparciem w programie, uczestniczących w kształceniu lub pracujących po 6 miesiącach po ukończeniu nauki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F32266" w:rsidRPr="00EF2500" w:rsidRDefault="00F32266" w:rsidP="008C354A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F1430">
              <w:rPr>
                <w:i/>
                <w:color w:val="000000" w:themeColor="text1"/>
                <w:sz w:val="16"/>
                <w:szCs w:val="16"/>
              </w:rPr>
              <w:t>osoby</w:t>
            </w:r>
          </w:p>
        </w:tc>
        <w:tc>
          <w:tcPr>
            <w:tcW w:w="607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-</w:t>
            </w:r>
          </w:p>
        </w:tc>
        <w:tc>
          <w:tcPr>
            <w:tcW w:w="613" w:type="pct"/>
            <w:vAlign w:val="center"/>
          </w:tcPr>
          <w:p w:rsidR="00F32266" w:rsidRPr="00EF2500" w:rsidRDefault="00F32266" w:rsidP="005C7B7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6"/>
              </w:rPr>
            </w:pPr>
            <w:r w:rsidRPr="00CF1430">
              <w:rPr>
                <w:rFonts w:cs="Arial"/>
                <w:color w:val="000000" w:themeColor="text1"/>
                <w:sz w:val="16"/>
              </w:rPr>
              <w:t>37%</w:t>
            </w:r>
          </w:p>
        </w:tc>
      </w:tr>
    </w:tbl>
    <w:p w:rsidR="00872173" w:rsidRPr="00872173" w:rsidRDefault="00975A32" w:rsidP="000800C8">
      <w:pPr>
        <w:jc w:val="both"/>
        <w:rPr>
          <w:sz w:val="14"/>
          <w:szCs w:val="16"/>
        </w:rPr>
      </w:pPr>
      <w:r w:rsidRPr="00872173">
        <w:rPr>
          <w:sz w:val="14"/>
          <w:szCs w:val="16"/>
        </w:rPr>
        <w:br/>
      </w:r>
    </w:p>
    <w:p w:rsidR="00872173" w:rsidRPr="00872173" w:rsidRDefault="00872173" w:rsidP="000800C8">
      <w:pPr>
        <w:jc w:val="both"/>
        <w:rPr>
          <w:sz w:val="14"/>
          <w:szCs w:val="16"/>
        </w:rPr>
      </w:pPr>
    </w:p>
    <w:p w:rsidR="00872173" w:rsidRPr="00872173" w:rsidRDefault="00872173" w:rsidP="000800C8">
      <w:pPr>
        <w:jc w:val="both"/>
        <w:rPr>
          <w:sz w:val="14"/>
          <w:szCs w:val="16"/>
        </w:rPr>
      </w:pPr>
    </w:p>
    <w:sectPr w:rsidR="00872173" w:rsidRPr="00872173" w:rsidSect="00413E0A">
      <w:headerReference w:type="default" r:id="rId8"/>
      <w:footerReference w:type="default" r:id="rId9"/>
      <w:pgSz w:w="11906" w:h="16838"/>
      <w:pgMar w:top="133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79" w:rsidRDefault="00505779" w:rsidP="003A1AAB">
      <w:pPr>
        <w:spacing w:after="0" w:line="240" w:lineRule="auto"/>
      </w:pPr>
      <w:r>
        <w:separator/>
      </w:r>
    </w:p>
  </w:endnote>
  <w:endnote w:type="continuationSeparator" w:id="0">
    <w:p w:rsidR="00505779" w:rsidRDefault="00505779" w:rsidP="003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24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4474F" w:rsidRDefault="0004474F">
            <w:pPr>
              <w:pStyle w:val="Stopka"/>
              <w:jc w:val="right"/>
            </w:pPr>
            <w:r>
              <w:t xml:space="preserve">Strona </w:t>
            </w:r>
            <w:r w:rsidR="00D30C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0C19">
              <w:rPr>
                <w:b/>
                <w:sz w:val="24"/>
                <w:szCs w:val="24"/>
              </w:rPr>
              <w:fldChar w:fldCharType="separate"/>
            </w:r>
            <w:r w:rsidR="0080382A">
              <w:rPr>
                <w:b/>
                <w:noProof/>
              </w:rPr>
              <w:t>3</w:t>
            </w:r>
            <w:r w:rsidR="00D30C1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0C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0C19">
              <w:rPr>
                <w:b/>
                <w:sz w:val="24"/>
                <w:szCs w:val="24"/>
              </w:rPr>
              <w:fldChar w:fldCharType="separate"/>
            </w:r>
            <w:r w:rsidR="0080382A">
              <w:rPr>
                <w:b/>
                <w:noProof/>
              </w:rPr>
              <w:t>3</w:t>
            </w:r>
            <w:r w:rsidR="00D30C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474F" w:rsidRDefault="00044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79" w:rsidRDefault="00505779" w:rsidP="003A1AAB">
      <w:pPr>
        <w:spacing w:after="0" w:line="240" w:lineRule="auto"/>
      </w:pPr>
      <w:r>
        <w:separator/>
      </w:r>
    </w:p>
  </w:footnote>
  <w:footnote w:type="continuationSeparator" w:id="0">
    <w:p w:rsidR="00505779" w:rsidRDefault="00505779" w:rsidP="003A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4F" w:rsidRDefault="0004474F" w:rsidP="008026E7">
    <w:pPr>
      <w:pStyle w:val="Tekstpodstawowy"/>
      <w:tabs>
        <w:tab w:val="center" w:pos="1701"/>
        <w:tab w:val="center" w:pos="7655"/>
      </w:tabs>
      <w:spacing w:before="120"/>
      <w:ind w:left="0" w:right="57"/>
      <w:rPr>
        <w:rFonts w:ascii="Calibri" w:hAnsi="Calibri"/>
        <w:sz w:val="20"/>
      </w:rPr>
    </w:pPr>
  </w:p>
  <w:p w:rsidR="0004474F" w:rsidRPr="000D44A5" w:rsidRDefault="0004474F" w:rsidP="008026E7">
    <w:pPr>
      <w:pStyle w:val="Tekstpodstawowy"/>
      <w:tabs>
        <w:tab w:val="center" w:pos="1701"/>
        <w:tab w:val="center" w:pos="7655"/>
      </w:tabs>
      <w:spacing w:before="120"/>
      <w:ind w:left="0" w:right="57"/>
      <w:rPr>
        <w:rFonts w:ascii="Calibri" w:hAnsi="Calibri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 xml:space="preserve">Załącznik nr 2 </w:t>
    </w:r>
    <w:r w:rsidRPr="00DD4A47">
      <w:rPr>
        <w:rFonts w:ascii="Calibri" w:hAnsi="Calibri" w:cs="Arial"/>
        <w:b/>
        <w:sz w:val="22"/>
        <w:szCs w:val="22"/>
      </w:rPr>
      <w:tab/>
      <w:t>Lista wskaźników do wykonania celów pośrednich oraz końcowych</w:t>
    </w:r>
  </w:p>
  <w:p w:rsidR="0004474F" w:rsidRDefault="000447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45CF"/>
    <w:multiLevelType w:val="hybridMultilevel"/>
    <w:tmpl w:val="D304C7BE"/>
    <w:lvl w:ilvl="0" w:tplc="FBFA3DB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F"/>
    <w:rsid w:val="000100CD"/>
    <w:rsid w:val="00010B74"/>
    <w:rsid w:val="00013978"/>
    <w:rsid w:val="0001589C"/>
    <w:rsid w:val="00016797"/>
    <w:rsid w:val="00025955"/>
    <w:rsid w:val="000318D8"/>
    <w:rsid w:val="00035484"/>
    <w:rsid w:val="00037E6F"/>
    <w:rsid w:val="0004474F"/>
    <w:rsid w:val="00047273"/>
    <w:rsid w:val="00047DCF"/>
    <w:rsid w:val="000506EE"/>
    <w:rsid w:val="00051C6F"/>
    <w:rsid w:val="0006055A"/>
    <w:rsid w:val="000800C8"/>
    <w:rsid w:val="000A3FFB"/>
    <w:rsid w:val="000B3B7B"/>
    <w:rsid w:val="000B7569"/>
    <w:rsid w:val="000D44A5"/>
    <w:rsid w:val="000D54B7"/>
    <w:rsid w:val="000D5BD4"/>
    <w:rsid w:val="000E03C1"/>
    <w:rsid w:val="000E1A80"/>
    <w:rsid w:val="000F561A"/>
    <w:rsid w:val="001031B6"/>
    <w:rsid w:val="00103C36"/>
    <w:rsid w:val="00105FA2"/>
    <w:rsid w:val="00115F23"/>
    <w:rsid w:val="00116D99"/>
    <w:rsid w:val="001200D0"/>
    <w:rsid w:val="001208FB"/>
    <w:rsid w:val="00127C8E"/>
    <w:rsid w:val="00140C53"/>
    <w:rsid w:val="001410CB"/>
    <w:rsid w:val="00152E68"/>
    <w:rsid w:val="001730E8"/>
    <w:rsid w:val="00173A2C"/>
    <w:rsid w:val="00174732"/>
    <w:rsid w:val="00182F7A"/>
    <w:rsid w:val="00184C59"/>
    <w:rsid w:val="00192ECF"/>
    <w:rsid w:val="00193D1A"/>
    <w:rsid w:val="00193DE8"/>
    <w:rsid w:val="00194B81"/>
    <w:rsid w:val="001A2C82"/>
    <w:rsid w:val="001B4CE6"/>
    <w:rsid w:val="001B75E5"/>
    <w:rsid w:val="001D669B"/>
    <w:rsid w:val="001E1817"/>
    <w:rsid w:val="001E2CF2"/>
    <w:rsid w:val="001F09F7"/>
    <w:rsid w:val="001F3FC1"/>
    <w:rsid w:val="001F593F"/>
    <w:rsid w:val="001F768B"/>
    <w:rsid w:val="00204669"/>
    <w:rsid w:val="002138E3"/>
    <w:rsid w:val="00222B0F"/>
    <w:rsid w:val="00232C21"/>
    <w:rsid w:val="00237E0A"/>
    <w:rsid w:val="0025228B"/>
    <w:rsid w:val="002708CA"/>
    <w:rsid w:val="00270936"/>
    <w:rsid w:val="00273464"/>
    <w:rsid w:val="002763AB"/>
    <w:rsid w:val="00297455"/>
    <w:rsid w:val="002B10EC"/>
    <w:rsid w:val="002B38B3"/>
    <w:rsid w:val="002D16B6"/>
    <w:rsid w:val="002E6CDC"/>
    <w:rsid w:val="002F16FE"/>
    <w:rsid w:val="00306ACD"/>
    <w:rsid w:val="00312B86"/>
    <w:rsid w:val="003153C9"/>
    <w:rsid w:val="00324B73"/>
    <w:rsid w:val="003309A5"/>
    <w:rsid w:val="00331FC9"/>
    <w:rsid w:val="00334689"/>
    <w:rsid w:val="00344DEB"/>
    <w:rsid w:val="003475F8"/>
    <w:rsid w:val="00350492"/>
    <w:rsid w:val="003533FA"/>
    <w:rsid w:val="003576D6"/>
    <w:rsid w:val="0036463B"/>
    <w:rsid w:val="00364C55"/>
    <w:rsid w:val="003722B4"/>
    <w:rsid w:val="00376942"/>
    <w:rsid w:val="00377999"/>
    <w:rsid w:val="0038130D"/>
    <w:rsid w:val="00381ED0"/>
    <w:rsid w:val="00387238"/>
    <w:rsid w:val="003A1AAB"/>
    <w:rsid w:val="003A2294"/>
    <w:rsid w:val="003B59FC"/>
    <w:rsid w:val="003B7499"/>
    <w:rsid w:val="003C0EC3"/>
    <w:rsid w:val="003C33DC"/>
    <w:rsid w:val="003D1290"/>
    <w:rsid w:val="003D3BEB"/>
    <w:rsid w:val="003F0C44"/>
    <w:rsid w:val="003F0F4B"/>
    <w:rsid w:val="003F241D"/>
    <w:rsid w:val="00401E1D"/>
    <w:rsid w:val="00412C5B"/>
    <w:rsid w:val="00413E0A"/>
    <w:rsid w:val="004154B0"/>
    <w:rsid w:val="00441A79"/>
    <w:rsid w:val="0044600A"/>
    <w:rsid w:val="00462DDC"/>
    <w:rsid w:val="00470B4D"/>
    <w:rsid w:val="004718A7"/>
    <w:rsid w:val="00474C5A"/>
    <w:rsid w:val="004763B4"/>
    <w:rsid w:val="00481D6B"/>
    <w:rsid w:val="00482604"/>
    <w:rsid w:val="00486680"/>
    <w:rsid w:val="004A019C"/>
    <w:rsid w:val="004B0E49"/>
    <w:rsid w:val="004B1CB7"/>
    <w:rsid w:val="004B6C9F"/>
    <w:rsid w:val="004B7503"/>
    <w:rsid w:val="004C0516"/>
    <w:rsid w:val="004C1449"/>
    <w:rsid w:val="004C38D6"/>
    <w:rsid w:val="004C61F2"/>
    <w:rsid w:val="004D64E6"/>
    <w:rsid w:val="00504B77"/>
    <w:rsid w:val="00505779"/>
    <w:rsid w:val="00516250"/>
    <w:rsid w:val="005219B0"/>
    <w:rsid w:val="00530BF5"/>
    <w:rsid w:val="00537AF0"/>
    <w:rsid w:val="005411BD"/>
    <w:rsid w:val="00545FB7"/>
    <w:rsid w:val="00546FAC"/>
    <w:rsid w:val="0054793F"/>
    <w:rsid w:val="005613C0"/>
    <w:rsid w:val="0056566A"/>
    <w:rsid w:val="0057406A"/>
    <w:rsid w:val="00581950"/>
    <w:rsid w:val="0058380C"/>
    <w:rsid w:val="00591268"/>
    <w:rsid w:val="00593131"/>
    <w:rsid w:val="005A1F6B"/>
    <w:rsid w:val="005A317F"/>
    <w:rsid w:val="005A6115"/>
    <w:rsid w:val="005C267F"/>
    <w:rsid w:val="005C5EF8"/>
    <w:rsid w:val="005C7B78"/>
    <w:rsid w:val="005F08EC"/>
    <w:rsid w:val="005F5B67"/>
    <w:rsid w:val="00603517"/>
    <w:rsid w:val="006169A6"/>
    <w:rsid w:val="006169FD"/>
    <w:rsid w:val="0063499F"/>
    <w:rsid w:val="006456A6"/>
    <w:rsid w:val="006456D0"/>
    <w:rsid w:val="006561A8"/>
    <w:rsid w:val="00657981"/>
    <w:rsid w:val="00685C88"/>
    <w:rsid w:val="006904D6"/>
    <w:rsid w:val="006917A4"/>
    <w:rsid w:val="006949BE"/>
    <w:rsid w:val="006965ED"/>
    <w:rsid w:val="006B4C96"/>
    <w:rsid w:val="006C6F02"/>
    <w:rsid w:val="006E392B"/>
    <w:rsid w:val="006F278F"/>
    <w:rsid w:val="006F69F8"/>
    <w:rsid w:val="0070146E"/>
    <w:rsid w:val="007159EE"/>
    <w:rsid w:val="00724AAB"/>
    <w:rsid w:val="00735639"/>
    <w:rsid w:val="0075745A"/>
    <w:rsid w:val="00772C79"/>
    <w:rsid w:val="007777A4"/>
    <w:rsid w:val="00797F8D"/>
    <w:rsid w:val="007A0AF6"/>
    <w:rsid w:val="007A1177"/>
    <w:rsid w:val="007B191F"/>
    <w:rsid w:val="007B715F"/>
    <w:rsid w:val="007C154B"/>
    <w:rsid w:val="007C62F5"/>
    <w:rsid w:val="007E613D"/>
    <w:rsid w:val="007E7242"/>
    <w:rsid w:val="008017B0"/>
    <w:rsid w:val="008026E7"/>
    <w:rsid w:val="0080382A"/>
    <w:rsid w:val="00824F5A"/>
    <w:rsid w:val="008258D6"/>
    <w:rsid w:val="0082592C"/>
    <w:rsid w:val="00833A33"/>
    <w:rsid w:val="00847346"/>
    <w:rsid w:val="00853735"/>
    <w:rsid w:val="008562B1"/>
    <w:rsid w:val="008673F9"/>
    <w:rsid w:val="00872173"/>
    <w:rsid w:val="00880B46"/>
    <w:rsid w:val="008950AA"/>
    <w:rsid w:val="008A312E"/>
    <w:rsid w:val="008A572C"/>
    <w:rsid w:val="008A681B"/>
    <w:rsid w:val="008B1DB4"/>
    <w:rsid w:val="008B7A14"/>
    <w:rsid w:val="008C354A"/>
    <w:rsid w:val="008E2813"/>
    <w:rsid w:val="008E62A0"/>
    <w:rsid w:val="008E6E93"/>
    <w:rsid w:val="008F0C2A"/>
    <w:rsid w:val="008F1D77"/>
    <w:rsid w:val="008F7364"/>
    <w:rsid w:val="009027A1"/>
    <w:rsid w:val="00924890"/>
    <w:rsid w:val="00937F03"/>
    <w:rsid w:val="009405F9"/>
    <w:rsid w:val="00941429"/>
    <w:rsid w:val="00946F69"/>
    <w:rsid w:val="00951B75"/>
    <w:rsid w:val="009711F4"/>
    <w:rsid w:val="009737ED"/>
    <w:rsid w:val="00975A32"/>
    <w:rsid w:val="009823DF"/>
    <w:rsid w:val="009829CF"/>
    <w:rsid w:val="00987A75"/>
    <w:rsid w:val="00990E5C"/>
    <w:rsid w:val="009949A7"/>
    <w:rsid w:val="0099699D"/>
    <w:rsid w:val="00997BDD"/>
    <w:rsid w:val="009D2139"/>
    <w:rsid w:val="009D4809"/>
    <w:rsid w:val="009D61E4"/>
    <w:rsid w:val="009E64C5"/>
    <w:rsid w:val="009E7595"/>
    <w:rsid w:val="009F2A9F"/>
    <w:rsid w:val="009F644B"/>
    <w:rsid w:val="009F7DB4"/>
    <w:rsid w:val="00A031F0"/>
    <w:rsid w:val="00A15743"/>
    <w:rsid w:val="00A31C78"/>
    <w:rsid w:val="00A32218"/>
    <w:rsid w:val="00A33875"/>
    <w:rsid w:val="00A44175"/>
    <w:rsid w:val="00A51153"/>
    <w:rsid w:val="00A66540"/>
    <w:rsid w:val="00A66CBD"/>
    <w:rsid w:val="00A77E5F"/>
    <w:rsid w:val="00A8495E"/>
    <w:rsid w:val="00A84EA0"/>
    <w:rsid w:val="00AA203D"/>
    <w:rsid w:val="00AC08F8"/>
    <w:rsid w:val="00AC1C5F"/>
    <w:rsid w:val="00AC37EE"/>
    <w:rsid w:val="00AC6499"/>
    <w:rsid w:val="00AD09DF"/>
    <w:rsid w:val="00AE0EF1"/>
    <w:rsid w:val="00AE7258"/>
    <w:rsid w:val="00AF4106"/>
    <w:rsid w:val="00AF7FB9"/>
    <w:rsid w:val="00B054DA"/>
    <w:rsid w:val="00B14ACF"/>
    <w:rsid w:val="00B2023C"/>
    <w:rsid w:val="00B2195A"/>
    <w:rsid w:val="00B310B1"/>
    <w:rsid w:val="00B61C41"/>
    <w:rsid w:val="00B63DF6"/>
    <w:rsid w:val="00B840D9"/>
    <w:rsid w:val="00B86C02"/>
    <w:rsid w:val="00B90B76"/>
    <w:rsid w:val="00BB31C7"/>
    <w:rsid w:val="00BB4552"/>
    <w:rsid w:val="00BC1CF5"/>
    <w:rsid w:val="00BD086E"/>
    <w:rsid w:val="00BE7799"/>
    <w:rsid w:val="00BF7F5F"/>
    <w:rsid w:val="00C14D35"/>
    <w:rsid w:val="00C20099"/>
    <w:rsid w:val="00C2472A"/>
    <w:rsid w:val="00C25A6F"/>
    <w:rsid w:val="00C32091"/>
    <w:rsid w:val="00C324F1"/>
    <w:rsid w:val="00C7090A"/>
    <w:rsid w:val="00C80795"/>
    <w:rsid w:val="00C83267"/>
    <w:rsid w:val="00C97C56"/>
    <w:rsid w:val="00CB0CF9"/>
    <w:rsid w:val="00CC0005"/>
    <w:rsid w:val="00CD5CB9"/>
    <w:rsid w:val="00CD6C0D"/>
    <w:rsid w:val="00CE3D43"/>
    <w:rsid w:val="00CF0A7F"/>
    <w:rsid w:val="00CF1430"/>
    <w:rsid w:val="00D046E2"/>
    <w:rsid w:val="00D0546C"/>
    <w:rsid w:val="00D05D37"/>
    <w:rsid w:val="00D30C19"/>
    <w:rsid w:val="00D311FA"/>
    <w:rsid w:val="00D40D99"/>
    <w:rsid w:val="00D41936"/>
    <w:rsid w:val="00D5531B"/>
    <w:rsid w:val="00D63404"/>
    <w:rsid w:val="00D639CA"/>
    <w:rsid w:val="00D63B8B"/>
    <w:rsid w:val="00D64D3E"/>
    <w:rsid w:val="00D677EF"/>
    <w:rsid w:val="00D71CBF"/>
    <w:rsid w:val="00D848E5"/>
    <w:rsid w:val="00D8603A"/>
    <w:rsid w:val="00D97553"/>
    <w:rsid w:val="00DA1BAC"/>
    <w:rsid w:val="00DA2B0A"/>
    <w:rsid w:val="00DB204C"/>
    <w:rsid w:val="00DC451D"/>
    <w:rsid w:val="00DC5AC7"/>
    <w:rsid w:val="00DD36EB"/>
    <w:rsid w:val="00DD3D4C"/>
    <w:rsid w:val="00DD4A47"/>
    <w:rsid w:val="00DE3439"/>
    <w:rsid w:val="00DE3DFC"/>
    <w:rsid w:val="00DE4B73"/>
    <w:rsid w:val="00DF0F49"/>
    <w:rsid w:val="00E067B8"/>
    <w:rsid w:val="00E11D30"/>
    <w:rsid w:val="00E12882"/>
    <w:rsid w:val="00E23EE4"/>
    <w:rsid w:val="00E30F84"/>
    <w:rsid w:val="00E32A35"/>
    <w:rsid w:val="00E36816"/>
    <w:rsid w:val="00E36C75"/>
    <w:rsid w:val="00E36D6F"/>
    <w:rsid w:val="00E44255"/>
    <w:rsid w:val="00E51F06"/>
    <w:rsid w:val="00E7631F"/>
    <w:rsid w:val="00E82CE2"/>
    <w:rsid w:val="00E87AE4"/>
    <w:rsid w:val="00EA06C2"/>
    <w:rsid w:val="00EA3D1C"/>
    <w:rsid w:val="00EB2727"/>
    <w:rsid w:val="00EB5FA7"/>
    <w:rsid w:val="00EB7B4C"/>
    <w:rsid w:val="00EC27B0"/>
    <w:rsid w:val="00EC2A7F"/>
    <w:rsid w:val="00EC3362"/>
    <w:rsid w:val="00ED652D"/>
    <w:rsid w:val="00EE65D0"/>
    <w:rsid w:val="00EF2500"/>
    <w:rsid w:val="00EF284D"/>
    <w:rsid w:val="00EF3180"/>
    <w:rsid w:val="00EF4C4C"/>
    <w:rsid w:val="00EF662C"/>
    <w:rsid w:val="00EF7EDB"/>
    <w:rsid w:val="00F02127"/>
    <w:rsid w:val="00F0568F"/>
    <w:rsid w:val="00F07ADE"/>
    <w:rsid w:val="00F12D45"/>
    <w:rsid w:val="00F16C5F"/>
    <w:rsid w:val="00F20674"/>
    <w:rsid w:val="00F256E6"/>
    <w:rsid w:val="00F32266"/>
    <w:rsid w:val="00F334B8"/>
    <w:rsid w:val="00F344C1"/>
    <w:rsid w:val="00F345C5"/>
    <w:rsid w:val="00F40EA6"/>
    <w:rsid w:val="00F46E03"/>
    <w:rsid w:val="00F61375"/>
    <w:rsid w:val="00F61429"/>
    <w:rsid w:val="00F62520"/>
    <w:rsid w:val="00F724AF"/>
    <w:rsid w:val="00F76430"/>
    <w:rsid w:val="00F824D9"/>
    <w:rsid w:val="00F91C42"/>
    <w:rsid w:val="00FA68AE"/>
    <w:rsid w:val="00FA7437"/>
    <w:rsid w:val="00FA7CA1"/>
    <w:rsid w:val="00FB58BC"/>
    <w:rsid w:val="00FB5C2E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80B0-C3BE-4276-94E3-ED6D04C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AB"/>
  </w:style>
  <w:style w:type="paragraph" w:styleId="Stopka">
    <w:name w:val="footer"/>
    <w:basedOn w:val="Normalny"/>
    <w:link w:val="StopkaZnak"/>
    <w:uiPriority w:val="99"/>
    <w:unhideWhenUsed/>
    <w:rsid w:val="003A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AB"/>
  </w:style>
  <w:style w:type="paragraph" w:styleId="Tekstdymka">
    <w:name w:val="Balloon Text"/>
    <w:basedOn w:val="Normalny"/>
    <w:link w:val="TekstdymkaZnak"/>
    <w:uiPriority w:val="99"/>
    <w:semiHidden/>
    <w:unhideWhenUsed/>
    <w:rsid w:val="000D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026E7"/>
    <w:pPr>
      <w:tabs>
        <w:tab w:val="left" w:pos="1701"/>
      </w:tabs>
      <w:suppressAutoHyphens/>
      <w:spacing w:after="0" w:line="240" w:lineRule="auto"/>
      <w:ind w:left="1276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26E7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WW8Num35z2">
    <w:name w:val="WW8Num35z2"/>
    <w:rsid w:val="008026E7"/>
    <w:rPr>
      <w:rFonts w:ascii="Wingdings" w:hAnsi="Wingdings"/>
    </w:rPr>
  </w:style>
  <w:style w:type="character" w:customStyle="1" w:styleId="WW8Num6z0">
    <w:name w:val="WW8Num6z0"/>
    <w:rsid w:val="008026E7"/>
    <w:rPr>
      <w:color w:val="auto"/>
    </w:rPr>
  </w:style>
  <w:style w:type="paragraph" w:styleId="Bezodstpw">
    <w:name w:val="No Spacing"/>
    <w:uiPriority w:val="1"/>
    <w:qFormat/>
    <w:rsid w:val="00413E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5A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5D939-F1DD-45E0-9A3B-F8DE1D04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Mikołajczyk</dc:creator>
  <cp:lastModifiedBy>Grzegorz Łukaszuk</cp:lastModifiedBy>
  <cp:revision>2</cp:revision>
  <cp:lastPrinted>2015-06-08T11:58:00Z</cp:lastPrinted>
  <dcterms:created xsi:type="dcterms:W3CDTF">2016-09-06T12:47:00Z</dcterms:created>
  <dcterms:modified xsi:type="dcterms:W3CDTF">2016-09-06T12:47:00Z</dcterms:modified>
</cp:coreProperties>
</file>