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741" w:rsidRPr="009F303C" w:rsidRDefault="00B71741" w:rsidP="005172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0"/>
          <w:lang w:eastAsia="en-US"/>
        </w:rPr>
      </w:pPr>
      <w:r w:rsidRPr="00DD0783">
        <w:rPr>
          <w:rFonts w:cs="Arial"/>
          <w:sz w:val="20"/>
          <w:szCs w:val="20"/>
          <w:lang w:eastAsia="en-US"/>
        </w:rPr>
        <w:t xml:space="preserve">Załącznik nr 7 do Szczegółowego opisu osi priorytetowych RPO WD 2014-2020 </w:t>
      </w:r>
      <w:r w:rsidR="00052D63">
        <w:rPr>
          <w:rFonts w:cs="Arial"/>
          <w:sz w:val="20"/>
          <w:szCs w:val="20"/>
          <w:lang w:eastAsia="en-US"/>
        </w:rPr>
        <w:t>z dn.</w:t>
      </w:r>
      <w:r w:rsidR="00277C45">
        <w:rPr>
          <w:rFonts w:cs="Arial"/>
          <w:sz w:val="20"/>
          <w:szCs w:val="20"/>
          <w:lang w:eastAsia="en-US"/>
        </w:rPr>
        <w:t xml:space="preserve"> 29 czerwca 2020</w:t>
      </w:r>
      <w:bookmarkStart w:id="0" w:name="_GoBack"/>
      <w:bookmarkEnd w:id="0"/>
    </w:p>
    <w:p w:rsidR="00BA376B" w:rsidRPr="00DD0783" w:rsidRDefault="00BA376B" w:rsidP="00C10F6C">
      <w:pPr>
        <w:spacing w:after="0" w:line="240" w:lineRule="auto"/>
        <w:ind w:left="5103"/>
        <w:jc w:val="both"/>
      </w:pPr>
    </w:p>
    <w:p w:rsidR="00BA376B" w:rsidRPr="00DD0783" w:rsidRDefault="00BA376B" w:rsidP="00C10F6C">
      <w:pPr>
        <w:spacing w:line="240" w:lineRule="auto"/>
        <w:jc w:val="both"/>
      </w:pPr>
    </w:p>
    <w:p w:rsidR="00BA376B" w:rsidRPr="00DD0783" w:rsidRDefault="00BA376B" w:rsidP="00C10F6C">
      <w:pPr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1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</w:t>
      </w:r>
      <w:bookmarkStart w:id="2" w:name="_Hlk519850855"/>
      <w:r w:rsidR="009D79D3" w:rsidRPr="00F35FEC">
        <w:rPr>
          <w:b/>
          <w:sz w:val="32"/>
          <w:szCs w:val="32"/>
        </w:rPr>
        <w:t>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1"/>
      <w:bookmarkEnd w:id="2"/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:rsidR="00BA376B" w:rsidRPr="00DD0783" w:rsidRDefault="00AC4264" w:rsidP="003C3DD4">
      <w:pPr>
        <w:pStyle w:val="Akapitzlist"/>
        <w:numPr>
          <w:ilvl w:val="0"/>
          <w:numId w:val="27"/>
        </w:numPr>
        <w:tabs>
          <w:tab w:val="left" w:pos="5330"/>
        </w:tabs>
        <w:spacing w:line="240" w:lineRule="auto"/>
        <w:ind w:left="567"/>
        <w:jc w:val="center"/>
        <w:rPr>
          <w:b/>
        </w:rPr>
      </w:pPr>
      <w:r w:rsidRPr="00DD0783">
        <w:rPr>
          <w:b/>
        </w:rPr>
        <w:lastRenderedPageBreak/>
        <w:t>WYKAZ SKRÓTÓW</w:t>
      </w:r>
    </w:p>
    <w:p w:rsidR="0018241A" w:rsidRPr="009A5E6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1) 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9A5E66">
        <w:rPr>
          <w:rFonts w:asciiTheme="minorHAnsi" w:hAnsiTheme="minorHAnsi"/>
          <w:sz w:val="22"/>
          <w:szCs w:val="22"/>
        </w:rPr>
        <w:t>– Europejski Fundusz Rozwoju Regionalnego;</w:t>
      </w:r>
    </w:p>
    <w:p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2) </w:t>
      </w:r>
      <w:r w:rsidRPr="009A5E66">
        <w:rPr>
          <w:rFonts w:asciiTheme="minorHAnsi" w:hAnsiTheme="minorHAnsi"/>
          <w:b/>
          <w:bCs/>
          <w:sz w:val="22"/>
          <w:szCs w:val="22"/>
        </w:rPr>
        <w:t>M</w:t>
      </w:r>
      <w:r w:rsidR="0097611D" w:rsidRPr="009A5E66">
        <w:rPr>
          <w:rFonts w:asciiTheme="minorHAnsi" w:hAnsiTheme="minorHAnsi"/>
          <w:b/>
          <w:bCs/>
          <w:sz w:val="22"/>
          <w:szCs w:val="22"/>
        </w:rPr>
        <w:t>Ii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R </w:t>
      </w:r>
      <w:r w:rsidRPr="009A5E66">
        <w:rPr>
          <w:rFonts w:asciiTheme="minorHAnsi" w:hAnsiTheme="minorHAnsi"/>
          <w:sz w:val="22"/>
          <w:szCs w:val="22"/>
        </w:rPr>
        <w:t xml:space="preserve">– Ministerstwo </w:t>
      </w:r>
      <w:r w:rsidR="00335251" w:rsidRPr="009A5E66">
        <w:rPr>
          <w:rFonts w:asciiTheme="minorHAnsi" w:hAnsiTheme="minorHAnsi"/>
          <w:sz w:val="22"/>
          <w:szCs w:val="22"/>
        </w:rPr>
        <w:t xml:space="preserve">Inwestycji i </w:t>
      </w:r>
      <w:r w:rsidRPr="009A5E66">
        <w:rPr>
          <w:rFonts w:asciiTheme="minorHAnsi" w:hAnsiTheme="minorHAnsi"/>
          <w:sz w:val="22"/>
          <w:szCs w:val="22"/>
        </w:rPr>
        <w:t>Rozwoj</w:t>
      </w:r>
      <w:r w:rsidR="00870C75" w:rsidRPr="009A5E66">
        <w:rPr>
          <w:rFonts w:asciiTheme="minorHAnsi" w:hAnsiTheme="minorHAnsi"/>
          <w:sz w:val="22"/>
          <w:szCs w:val="22"/>
        </w:rPr>
        <w:t>u</w:t>
      </w:r>
      <w:r w:rsidR="00870C75" w:rsidRPr="00DD0783">
        <w:rPr>
          <w:rFonts w:asciiTheme="minorHAnsi" w:hAnsiTheme="minorHAnsi"/>
          <w:sz w:val="22"/>
          <w:szCs w:val="22"/>
        </w:rPr>
        <w:t xml:space="preserve"> </w:t>
      </w:r>
    </w:p>
    <w:p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C3A67" w:rsidRPr="003C3DD4" w:rsidRDefault="00AC4264" w:rsidP="003C3DD4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sz w:val="22"/>
          <w:szCs w:val="22"/>
        </w:rPr>
      </w:pPr>
      <w:r w:rsidRPr="00203B6D">
        <w:rPr>
          <w:rFonts w:asciiTheme="minorHAnsi" w:hAnsiTheme="minorHAnsi"/>
          <w:b/>
          <w:bCs/>
          <w:sz w:val="22"/>
          <w:szCs w:val="22"/>
        </w:rPr>
        <w:t xml:space="preserve">CEL I ZAKRES REGULACJI ORAZ OBOWIĄZYWANIA </w:t>
      </w:r>
      <w:r w:rsidRPr="00203B6D">
        <w:rPr>
          <w:rFonts w:asciiTheme="minorHAnsi" w:hAnsiTheme="minorHAnsi"/>
          <w:b/>
          <w:bCs/>
          <w:i/>
          <w:sz w:val="22"/>
          <w:szCs w:val="22"/>
        </w:rPr>
        <w:t xml:space="preserve">”ZASAD </w:t>
      </w:r>
      <w:r w:rsidRPr="003C3DD4">
        <w:rPr>
          <w:rFonts w:asciiTheme="minorHAnsi" w:hAnsiTheme="minorHAnsi"/>
          <w:b/>
          <w:bCs/>
          <w:i/>
          <w:sz w:val="22"/>
          <w:szCs w:val="22"/>
        </w:rPr>
        <w:t>KWALIFIKOWALNOŚCI WYDATKÓW FINANSOWANYCH Z EUROPEJSKIEGO FUNDUSZU ROZWOJU REGIONALNEGO W RAMACH REGIONALNEGO PROGRAMU OPERACYJNEGO WOJEWÓDZTWA DOLNOŚLĄSKIEGO 2014-2020”</w:t>
      </w:r>
    </w:p>
    <w:p w:rsidR="009F7CF2" w:rsidRPr="009A5E6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9A5E66">
        <w:rPr>
          <w:rFonts w:cs="Arial"/>
          <w:color w:val="000000"/>
        </w:rPr>
        <w:t xml:space="preserve">Warunki, o których mowa w </w:t>
      </w:r>
      <w:r w:rsidR="00335251" w:rsidRPr="009A5E66">
        <w:rPr>
          <w:rFonts w:cs="Arial"/>
          <w:color w:val="000000"/>
        </w:rPr>
        <w:t>„</w:t>
      </w:r>
      <w:r w:rsidR="00335251" w:rsidRPr="009E58A1">
        <w:rPr>
          <w:rFonts w:cs="Arial"/>
          <w:i/>
          <w:color w:val="000000"/>
        </w:rPr>
        <w:t>Z</w:t>
      </w:r>
      <w:r w:rsidRPr="009E58A1">
        <w:rPr>
          <w:rFonts w:cs="Arial"/>
          <w:i/>
          <w:color w:val="000000"/>
        </w:rPr>
        <w:t>asadach</w:t>
      </w:r>
      <w:r w:rsidR="00335251" w:rsidRPr="009A5E66">
        <w:rPr>
          <w:rFonts w:cs="Arial"/>
          <w:i/>
          <w:color w:val="000000"/>
        </w:rPr>
        <w:t xml:space="preserve"> </w:t>
      </w:r>
      <w:r w:rsidR="00335251" w:rsidRPr="009A5E66">
        <w:rPr>
          <w:bCs/>
          <w:i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cs="Arial"/>
          <w:i/>
          <w:color w:val="000000"/>
        </w:rPr>
        <w:t>”</w:t>
      </w:r>
      <w:r w:rsidR="00335251" w:rsidRPr="009A5E66">
        <w:rPr>
          <w:rFonts w:cs="Arial"/>
          <w:color w:val="000000"/>
        </w:rPr>
        <w:t xml:space="preserve"> (</w:t>
      </w:r>
      <w:r w:rsidR="00AB3866" w:rsidRPr="009A5E66">
        <w:rPr>
          <w:rFonts w:cs="Arial"/>
          <w:color w:val="000000"/>
        </w:rPr>
        <w:t>dalej</w:t>
      </w:r>
      <w:r w:rsidR="00467A9A">
        <w:rPr>
          <w:rFonts w:cs="Arial"/>
          <w:color w:val="000000"/>
        </w:rPr>
        <w:t>:</w:t>
      </w:r>
      <w:r w:rsidR="00AB3866" w:rsidRPr="009A5E66">
        <w:rPr>
          <w:rFonts w:cs="Arial"/>
          <w:color w:val="000000"/>
        </w:rPr>
        <w:t xml:space="preserve"> </w:t>
      </w:r>
      <w:r w:rsidR="00AB3866" w:rsidRPr="009E58A1">
        <w:rPr>
          <w:rFonts w:cs="Arial"/>
          <w:i/>
          <w:color w:val="000000"/>
        </w:rPr>
        <w:t>„Zasady”</w:t>
      </w:r>
      <w:r w:rsidR="00AB3866" w:rsidRPr="009A5E66">
        <w:rPr>
          <w:rFonts w:cs="Arial"/>
          <w:color w:val="000000"/>
        </w:rPr>
        <w:t>)</w:t>
      </w:r>
      <w:r w:rsidRPr="009A5E66">
        <w:rPr>
          <w:rFonts w:cs="Arial"/>
          <w:color w:val="000000"/>
        </w:rPr>
        <w:t>, są zgodne w szczególności z:</w:t>
      </w:r>
    </w:p>
    <w:p w:rsidR="00CA76E6" w:rsidRDefault="000906B8" w:rsidP="00CA76E6">
      <w:pPr>
        <w:tabs>
          <w:tab w:val="left" w:pos="5330"/>
        </w:tabs>
        <w:spacing w:line="240" w:lineRule="auto"/>
        <w:jc w:val="both"/>
      </w:pPr>
      <w:r w:rsidRPr="00DD0783">
        <w:t xml:space="preserve">a) </w:t>
      </w:r>
      <w:r w:rsidR="00CA76E6">
        <w:t xml:space="preserve">rozporządzeniem Parlamentu Europejskiego i Rady (UE, Euratom) nr 2018/1046 z dnia 18 lipca 2018 r. w sprawie zasad finansowych mających zastosowanie do budżetu ogólnego Unii, zmieniającym rozporządzenia (UE) nr 1296/2013, (UE) nr 1301/2013, (UE) nr 1303/2013, (UE) nr 1304/2013, (UE) nr 1309/2013, (UE) nr 1316/2013, (UE) nr 223/2014 i (UE) nr 283/2014 oraz decyzję nr 541/2014/UE, a także uchylającym rozporządzenie (UE, Euratom) nr 966/2012 (Dz. Urz. UE L 193 z 30.07.2018, str. 222), </w:t>
      </w:r>
    </w:p>
    <w:p w:rsidR="000906B8" w:rsidRPr="00DD0783" w:rsidRDefault="00CA76E6" w:rsidP="000906B8">
      <w:pPr>
        <w:tabs>
          <w:tab w:val="left" w:pos="5330"/>
        </w:tabs>
        <w:spacing w:line="240" w:lineRule="auto"/>
        <w:jc w:val="both"/>
      </w:pPr>
      <w:r>
        <w:t xml:space="preserve">b) </w:t>
      </w:r>
      <w:r w:rsidR="000906B8" w:rsidRPr="00DD0783">
        <w:t xml:space="preserve">przepisami Rozdziału III </w:t>
      </w:r>
      <w:r w:rsidR="000906B8" w:rsidRPr="00DD0783">
        <w:rPr>
          <w:i/>
          <w:iCs/>
        </w:rPr>
        <w:t xml:space="preserve">Kwalifikowalność wydatków i trwałość </w:t>
      </w:r>
      <w:r w:rsidR="000906B8" w:rsidRPr="00DD0783">
        <w:t xml:space="preserve">w Tytule VII </w:t>
      </w:r>
      <w:r w:rsidR="000906B8" w:rsidRPr="00DD0783">
        <w:rPr>
          <w:i/>
          <w:iCs/>
        </w:rPr>
        <w:t xml:space="preserve">Wsparcie finansowe z EFSI </w:t>
      </w:r>
      <w:r w:rsidR="000906B8" w:rsidRPr="00DD0783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późn. zm.), [</w:t>
      </w:r>
      <w:r w:rsidR="00467A9A">
        <w:t xml:space="preserve">dalej: </w:t>
      </w:r>
      <w:r w:rsidR="000906B8" w:rsidRPr="00DD0783">
        <w:t>„rozporządzenie ogóln</w:t>
      </w:r>
      <w:r>
        <w:t>e</w:t>
      </w:r>
      <w:r w:rsidR="000906B8" w:rsidRPr="00DD0783">
        <w:t xml:space="preserve">”], </w:t>
      </w:r>
    </w:p>
    <w:p w:rsidR="000906B8" w:rsidRPr="00DD0783" w:rsidRDefault="00394D81" w:rsidP="000906B8">
      <w:pPr>
        <w:tabs>
          <w:tab w:val="left" w:pos="5330"/>
        </w:tabs>
        <w:spacing w:line="240" w:lineRule="auto"/>
        <w:jc w:val="both"/>
      </w:pPr>
      <w:r>
        <w:t>c</w:t>
      </w:r>
      <w:r w:rsidR="000906B8" w:rsidRPr="00DD0783">
        <w:t>) rozporządzeniem Parlamentu Europejskiego i Rady (UE) nr 1301/2013 z dnia 17 grudnia 2013 r. w sprawie Europejskiego Funduszu Rozwoju Regionalnego</w:t>
      </w:r>
      <w:r w:rsidR="000906B8" w:rsidRPr="00DD0783">
        <w:rPr>
          <w:rFonts w:cs="Arial"/>
          <w:color w:val="000000"/>
        </w:rPr>
        <w:t xml:space="preserve"> </w:t>
      </w:r>
      <w:r w:rsidR="000906B8" w:rsidRPr="00DD0783">
        <w:t>i przepisów szczególnych dotyczących celu „Inwestycje na rzecz wzrostu i zatrudnienia” oraz w sprawie uchylenia rozporządzenia (WE) nr 1080/2006 (Dz. Urz. UE L 347 z 20.12.2013, str. 289) [</w:t>
      </w:r>
      <w:r w:rsidR="00467A9A">
        <w:t xml:space="preserve">dalej: </w:t>
      </w:r>
      <w:r w:rsidR="000906B8" w:rsidRPr="00DD0783">
        <w:t xml:space="preserve">„rozporządzenie EFRR”], </w:t>
      </w:r>
    </w:p>
    <w:p w:rsidR="000906B8" w:rsidRPr="00DD0783" w:rsidRDefault="00394D81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0906B8" w:rsidRPr="00DD0783">
        <w:rPr>
          <w:rFonts w:asciiTheme="minorHAnsi" w:hAnsiTheme="minorHAnsi"/>
          <w:sz w:val="22"/>
          <w:szCs w:val="22"/>
        </w:rPr>
        <w:t>) „</w:t>
      </w:r>
      <w:r w:rsidR="000906B8"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="000906B8" w:rsidRPr="00DD0783">
        <w:rPr>
          <w:rFonts w:asciiTheme="minorHAnsi" w:hAnsiTheme="minorHAnsi"/>
          <w:sz w:val="22"/>
          <w:szCs w:val="22"/>
        </w:rPr>
        <w:t xml:space="preserve"> [dalej: „wytyczn</w:t>
      </w:r>
      <w:r w:rsidR="00CA76E6">
        <w:rPr>
          <w:rFonts w:asciiTheme="minorHAnsi" w:hAnsiTheme="minorHAnsi"/>
          <w:sz w:val="22"/>
          <w:szCs w:val="22"/>
        </w:rPr>
        <w:t>e</w:t>
      </w:r>
      <w:r w:rsidR="000906B8" w:rsidRPr="00DD0783">
        <w:rPr>
          <w:rFonts w:asciiTheme="minorHAnsi" w:hAnsiTheme="minorHAnsi"/>
          <w:sz w:val="22"/>
          <w:szCs w:val="22"/>
        </w:rPr>
        <w:t xml:space="preserve"> horyzontaln</w:t>
      </w:r>
      <w:r w:rsidR="00CA76E6">
        <w:rPr>
          <w:rFonts w:asciiTheme="minorHAnsi" w:hAnsiTheme="minorHAnsi"/>
          <w:sz w:val="22"/>
          <w:szCs w:val="22"/>
        </w:rPr>
        <w:t>e</w:t>
      </w:r>
      <w:r w:rsidR="000906B8" w:rsidRPr="00DD0783">
        <w:rPr>
          <w:rFonts w:asciiTheme="minorHAnsi" w:hAnsiTheme="minorHAnsi"/>
          <w:sz w:val="22"/>
          <w:szCs w:val="22"/>
        </w:rPr>
        <w:t>”].</w:t>
      </w:r>
    </w:p>
    <w:p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9A5E66">
        <w:rPr>
          <w:b/>
        </w:rPr>
        <w:t xml:space="preserve">Podstawowym dokumentem w zakresie kwalifikowalności wydatków w RPO WD 2014-2020 są </w:t>
      </w:r>
      <w:r w:rsidR="002C5B11" w:rsidRPr="009A5E66">
        <w:rPr>
          <w:b/>
        </w:rPr>
        <w:t>wytyczne horyzontalne – „</w:t>
      </w:r>
      <w:r w:rsidRPr="009A5E66">
        <w:rPr>
          <w:b/>
          <w:i/>
        </w:rPr>
        <w:t>Wytyczne w zakresie kwalifikowalności wydatków w ramach Europejskiego Fun</w:t>
      </w:r>
      <w:r w:rsidRPr="0095520C">
        <w:rPr>
          <w:b/>
          <w:i/>
        </w:rPr>
        <w:t>duszu Rozwoju Regionalnego, Europejskiego Funduszu Społecznego oraz Funduszu Spójności na lata 2014-2020</w:t>
      </w:r>
      <w:r w:rsidR="002C5B11" w:rsidRPr="00CE736E">
        <w:rPr>
          <w:b/>
          <w:i/>
        </w:rPr>
        <w:t>”</w:t>
      </w:r>
      <w:r w:rsidRPr="00C40B9D">
        <w:rPr>
          <w:b/>
        </w:rPr>
        <w:t xml:space="preserve"> wydane przez Ministra Rozwoju</w:t>
      </w:r>
      <w:r w:rsidR="003F6BB8" w:rsidRPr="00C40B9D">
        <w:rPr>
          <w:b/>
        </w:rPr>
        <w:t xml:space="preserve"> i Finansów</w:t>
      </w:r>
      <w:r w:rsidRPr="00C40B9D">
        <w:rPr>
          <w:b/>
        </w:rPr>
        <w:t>.</w:t>
      </w:r>
      <w:r w:rsidRPr="00C40B9D">
        <w:t xml:space="preserve"> </w:t>
      </w:r>
      <w:r w:rsidRPr="00C40B9D">
        <w:rPr>
          <w:b/>
        </w:rPr>
        <w:t xml:space="preserve">Oznacza to, że zapisy </w:t>
      </w:r>
      <w:r w:rsidR="002C5B11" w:rsidRPr="00C40B9D">
        <w:rPr>
          <w:b/>
        </w:rPr>
        <w:t xml:space="preserve">ww. </w:t>
      </w:r>
      <w:r w:rsidRPr="00C40B9D">
        <w:rPr>
          <w:b/>
        </w:rPr>
        <w:t>wytycznych horyzontalnych mają bezpośrednie zastosowanie we wdrażaniu RPO WD 2014-2020, z</w:t>
      </w:r>
      <w:r w:rsidR="005A2D3C">
        <w:rPr>
          <w:b/>
        </w:rPr>
        <w:t> </w:t>
      </w:r>
      <w:r w:rsidRPr="00C40B9D">
        <w:rPr>
          <w:b/>
        </w:rPr>
        <w:t xml:space="preserve">zastrzeżeniem zapisów niniejszych </w:t>
      </w:r>
      <w:r w:rsidR="00335251" w:rsidRPr="00C40B9D">
        <w:rPr>
          <w:b/>
        </w:rPr>
        <w:t>„</w:t>
      </w:r>
      <w:r w:rsidR="00335251" w:rsidRPr="009E58A1">
        <w:rPr>
          <w:b/>
          <w:i/>
        </w:rPr>
        <w:t>Z</w:t>
      </w:r>
      <w:r w:rsidR="009241EE" w:rsidRPr="009E58A1">
        <w:rPr>
          <w:b/>
          <w:i/>
        </w:rPr>
        <w:t>asad</w:t>
      </w:r>
      <w:r w:rsidR="00335251" w:rsidRPr="009A5E66">
        <w:rPr>
          <w:b/>
          <w:i/>
        </w:rPr>
        <w:t>”</w:t>
      </w:r>
      <w:r w:rsidR="00335251" w:rsidRPr="009A5E66">
        <w:rPr>
          <w:b/>
        </w:rPr>
        <w:t>,</w:t>
      </w:r>
      <w:r w:rsidR="009241EE" w:rsidRPr="009A5E66">
        <w:rPr>
          <w:b/>
        </w:rPr>
        <w:t xml:space="preserve"> </w:t>
      </w:r>
      <w:r w:rsidRPr="009A5E66">
        <w:rPr>
          <w:b/>
        </w:rPr>
        <w:t>któr</w:t>
      </w:r>
      <w:r w:rsidR="000906B8" w:rsidRPr="009A5E66">
        <w:rPr>
          <w:b/>
        </w:rPr>
        <w:t>e</w:t>
      </w:r>
      <w:r w:rsidR="003F6BB8" w:rsidRPr="0095520C">
        <w:rPr>
          <w:b/>
        </w:rPr>
        <w:t xml:space="preserve"> </w:t>
      </w:r>
      <w:r w:rsidRPr="0095520C">
        <w:rPr>
          <w:b/>
        </w:rPr>
        <w:t xml:space="preserve"> zawiera</w:t>
      </w:r>
      <w:r w:rsidR="000906B8" w:rsidRPr="00CE736E">
        <w:rPr>
          <w:b/>
        </w:rPr>
        <w:t>ją</w:t>
      </w:r>
      <w:r w:rsidRPr="00C40B9D">
        <w:rPr>
          <w:b/>
        </w:rPr>
        <w:t xml:space="preserve"> dodatkowe ograniczenia lub wskazuj</w:t>
      </w:r>
      <w:r w:rsidR="000906B8" w:rsidRPr="00C40B9D">
        <w:rPr>
          <w:b/>
        </w:rPr>
        <w:t>ą</w:t>
      </w:r>
      <w:r w:rsidRPr="00C40B9D">
        <w:rPr>
          <w:b/>
        </w:rPr>
        <w:t xml:space="preserve"> na niekwalifikowalność w zakresie poszczególnych kategorii wydatków </w:t>
      </w:r>
      <w:bookmarkStart w:id="3" w:name="_Hlk520107836"/>
      <w:r w:rsidR="00AB3866" w:rsidRPr="00C40B9D">
        <w:rPr>
          <w:b/>
        </w:rPr>
        <w:t xml:space="preserve">finansowanych z EFRR – </w:t>
      </w:r>
      <w:bookmarkEnd w:id="3"/>
      <w:r w:rsidRPr="00C40B9D">
        <w:rPr>
          <w:b/>
        </w:rPr>
        <w:t>wiążące dla Wnioskodawców i Beneficjentów RPO WD 2014-2020.</w:t>
      </w:r>
      <w:r w:rsidRPr="00DD0783">
        <w:t xml:space="preserve"> </w:t>
      </w:r>
    </w:p>
    <w:p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4" w:name="_Hlk491428855"/>
      <w:r>
        <w:rPr>
          <w:rFonts w:asciiTheme="minorHAnsi" w:hAnsiTheme="minorHAnsi"/>
          <w:i/>
          <w:iCs/>
          <w:sz w:val="22"/>
          <w:szCs w:val="22"/>
        </w:rPr>
        <w:lastRenderedPageBreak/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bookmarkEnd w:id="4"/>
      <w:r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5" w:name="_Hlk492458836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5"/>
    <w:p w:rsidR="00267983" w:rsidRPr="00DD0783" w:rsidRDefault="000D0C61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:rsidR="00013AFB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Komisji (UE) nr 651/2014 z dnia 17 czerwca 2014 r. uznające niektóre rodzaje pomocy za zgodne z rynkiem wewnętrznym w zastosowaniu art. 107 i 108 Traktatu (Dz. Urz. UE L 187/1 z 26.6.2014, str. 1</w:t>
      </w:r>
      <w:r w:rsidR="00B21109" w:rsidRPr="00DD0783">
        <w:rPr>
          <w:rFonts w:asciiTheme="minorHAnsi" w:hAnsiTheme="minorHAnsi"/>
          <w:sz w:val="22"/>
          <w:szCs w:val="22"/>
        </w:rPr>
        <w:t>, z późn.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9A5E66">
        <w:rPr>
          <w:rFonts w:asciiTheme="minorHAnsi" w:hAnsiTheme="minorHAnsi"/>
          <w:sz w:val="22"/>
          <w:szCs w:val="22"/>
        </w:rPr>
        <w:t>)</w:t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:rsidR="00225518" w:rsidRPr="00DD0783" w:rsidRDefault="000246BF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Za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:rsidR="00267983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:rsidR="00267983" w:rsidRPr="00DD0783" w:rsidRDefault="00267983" w:rsidP="00E71C56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</w:t>
      </w:r>
      <w:r w:rsidR="005A2D3C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ogólnym interesie gospodarczym (Dz. Urz. UE L 7/3 z 11.1.2012, str. 3). </w:t>
      </w:r>
    </w:p>
    <w:p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niniejszych </w:t>
      </w:r>
      <w:r w:rsidR="00203B6D" w:rsidRPr="00203B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03B6D">
        <w:rPr>
          <w:rFonts w:asciiTheme="minorHAnsi" w:hAnsiTheme="minorHAnsi"/>
          <w:i/>
          <w:iCs/>
          <w:sz w:val="22"/>
          <w:szCs w:val="22"/>
        </w:rPr>
        <w:t>„</w:t>
      </w:r>
      <w:r w:rsidR="00AB3866">
        <w:rPr>
          <w:rFonts w:asciiTheme="minorHAnsi" w:hAnsiTheme="minorHAnsi"/>
          <w:i/>
          <w:iCs/>
          <w:sz w:val="22"/>
          <w:szCs w:val="22"/>
        </w:rPr>
        <w:t>Z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asad</w:t>
      </w:r>
      <w:r w:rsidR="00AB3866"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>de minimis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:rsidR="008F7051" w:rsidRDefault="0048731C" w:rsidP="00E71C56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:rsidR="00C2714F" w:rsidRPr="00BF2CA2" w:rsidRDefault="00C2714F" w:rsidP="00C2714F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bookmarkStart w:id="6" w:name="_Hlk2686586"/>
      <w:r w:rsidRPr="0008084D">
        <w:rPr>
          <w:rFonts w:asciiTheme="minorHAnsi" w:hAnsiTheme="minorHAnsi"/>
          <w:sz w:val="22"/>
          <w:szCs w:val="22"/>
        </w:rPr>
        <w:t xml:space="preserve">Dopuszczalność </w:t>
      </w:r>
      <w:r>
        <w:rPr>
          <w:rFonts w:asciiTheme="minorHAnsi" w:hAnsiTheme="minorHAnsi"/>
          <w:sz w:val="22"/>
          <w:szCs w:val="22"/>
        </w:rPr>
        <w:t>oraz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warunki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zastosowania </w:t>
      </w:r>
      <w:r w:rsidRPr="0008084D">
        <w:rPr>
          <w:rFonts w:asciiTheme="minorHAnsi" w:hAnsiTheme="minorHAnsi"/>
          <w:sz w:val="22"/>
          <w:szCs w:val="22"/>
        </w:rPr>
        <w:t>uproszczonych metod rozliczania wydatków określa</w:t>
      </w:r>
      <w:r w:rsidR="00D96C9F">
        <w:rPr>
          <w:rFonts w:asciiTheme="minorHAnsi" w:hAnsiTheme="minorHAnsi"/>
          <w:sz w:val="22"/>
          <w:szCs w:val="22"/>
        </w:rPr>
        <w:t xml:space="preserve"> </w:t>
      </w:r>
      <w:r w:rsidR="00D20FA1">
        <w:rPr>
          <w:rFonts w:asciiTheme="minorHAnsi" w:hAnsiTheme="minorHAnsi"/>
          <w:sz w:val="22"/>
          <w:szCs w:val="22"/>
        </w:rPr>
        <w:t xml:space="preserve">każdorazowo </w:t>
      </w:r>
      <w:r w:rsidRPr="0008084D">
        <w:rPr>
          <w:rFonts w:asciiTheme="minorHAnsi" w:hAnsiTheme="minorHAnsi"/>
          <w:sz w:val="22"/>
          <w:szCs w:val="22"/>
        </w:rPr>
        <w:t>regulamin konkursu</w:t>
      </w:r>
      <w:bookmarkEnd w:id="6"/>
      <w:r w:rsidR="00AC4264">
        <w:rPr>
          <w:rFonts w:asciiTheme="minorHAnsi" w:hAnsiTheme="minorHAnsi"/>
          <w:sz w:val="22"/>
          <w:szCs w:val="22"/>
        </w:rPr>
        <w:t xml:space="preserve"> (lub odpowiednio </w:t>
      </w:r>
      <w:r w:rsidR="00D20FA1">
        <w:rPr>
          <w:rFonts w:asciiTheme="minorHAnsi" w:hAnsiTheme="minorHAnsi"/>
          <w:sz w:val="22"/>
          <w:szCs w:val="22"/>
        </w:rPr>
        <w:t>zasady ubiegania się o wsparcie w trybie pozakonkursowym</w:t>
      </w:r>
      <w:r w:rsidR="00AC4264">
        <w:rPr>
          <w:rFonts w:asciiTheme="minorHAnsi" w:hAnsiTheme="minorHAnsi"/>
          <w:sz w:val="22"/>
          <w:szCs w:val="22"/>
        </w:rPr>
        <w:t>)</w:t>
      </w:r>
      <w:r w:rsidR="00D20FA1">
        <w:rPr>
          <w:rFonts w:asciiTheme="minorHAnsi" w:hAnsiTheme="minorHAnsi"/>
          <w:sz w:val="22"/>
          <w:szCs w:val="22"/>
        </w:rPr>
        <w:t>.</w:t>
      </w:r>
    </w:p>
    <w:p w:rsidR="00C2714F" w:rsidRPr="00DD0783" w:rsidRDefault="00C2714F" w:rsidP="00C2714F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:rsidR="005E77EA" w:rsidRPr="00DD0783" w:rsidRDefault="00AC4264" w:rsidP="00D46B9F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F22C1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:rsidR="00122E9E" w:rsidRPr="00DD0783" w:rsidRDefault="005953E3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4F19B4">
        <w:lastRenderedPageBreak/>
        <w:t>W przypadku projektów  dotyczących inwestycji skierowanych na poprawę sytuacji epidemiologicznej w związku z koronawirusem (typ 6.2.</w:t>
      </w:r>
      <w:r w:rsidR="00EF14EA">
        <w:t>C</w:t>
      </w:r>
      <w:r w:rsidRPr="004F19B4">
        <w:t xml:space="preserve">) </w:t>
      </w:r>
      <w:r w:rsidR="006F22C1" w:rsidRPr="00806B66">
        <w:t>nie mają zastosowania poniższe zapisy , które są niezgodne z zapisami ustawy</w:t>
      </w:r>
      <w:r w:rsidR="006F22C1">
        <w:rPr>
          <w:rFonts w:ascii="Calibri" w:hAnsi="Calibri" w:cs="Arial"/>
        </w:rPr>
        <w:t xml:space="preserve"> z dnia 2 marca 2020 r.</w:t>
      </w:r>
      <w:r w:rsidR="006F22C1" w:rsidRPr="00C35A34">
        <w:rPr>
          <w:rFonts w:ascii="Calibri" w:hAnsi="Calibri" w:cs="Arial"/>
        </w:rPr>
        <w:t xml:space="preserve"> o szczególnych rozwiązaniach związanych z zapobieganiem, przeciwdziałaniem i zwalczaniem COVID-19, innych chorób zakaźnych oraz wywołanych nimi sytuacji kryzysowych</w:t>
      </w:r>
      <w:r w:rsidR="006F22C1">
        <w:rPr>
          <w:rFonts w:ascii="Calibri" w:hAnsi="Calibri" w:cs="Arial"/>
        </w:rPr>
        <w:t>.</w:t>
      </w:r>
    </w:p>
    <w:p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t xml:space="preserve">Dla niektórych kategorii wydatków wskazano dodatkowo okres obowiązywania. Dotyczy to przypadków wprowadzenia danej kategorii wydatku, jej zmiany bądź usunięcia – w kolejnych wersjach dokumentu określającego kwalifikowalność wydatków w ramach RPO WD w zakresie </w:t>
      </w:r>
      <w:r w:rsidRPr="00C40B9D">
        <w:rPr>
          <w:b/>
        </w:rPr>
        <w:t>EFRR</w:t>
      </w:r>
      <w:r w:rsidR="00060332" w:rsidRPr="00C40B9D">
        <w:rPr>
          <w:rStyle w:val="Odwoanieprzypisudolnego"/>
          <w:b/>
        </w:rPr>
        <w:footnoteReference w:id="3"/>
      </w:r>
      <w:r w:rsidR="00060332" w:rsidRPr="00C40B9D">
        <w:rPr>
          <w:b/>
        </w:rPr>
        <w:t>.</w:t>
      </w:r>
      <w:r w:rsidRPr="00C40B9D">
        <w:rPr>
          <w:b/>
        </w:rPr>
        <w:t xml:space="preserve"> Wskazane w przypisach daty odnoszą się do momentu zatwierdzenia właściwej w</w:t>
      </w:r>
      <w:r w:rsidRPr="007D39F6">
        <w:rPr>
          <w:b/>
        </w:rPr>
        <w:t>ersji ww. dokumentu – wprowadzającej, zmieniającej bądź znoszącej określone zapisy</w:t>
      </w:r>
      <w:r w:rsidRPr="007D39F6">
        <w:t>.</w:t>
      </w:r>
    </w:p>
    <w:p w:rsidR="007668E1" w:rsidRDefault="000D0455" w:rsidP="003A2CB6">
      <w:pPr>
        <w:jc w:val="both"/>
      </w:pPr>
      <w:r w:rsidRPr="00DD0783"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>w trakcie realizacji projektu 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:rsidR="00A23F33" w:rsidRPr="00DD0783" w:rsidRDefault="00474CDD" w:rsidP="003C3DD4">
      <w:pPr>
        <w:jc w:val="center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4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6456"/>
      </w:tblGrid>
      <w:tr w:rsidR="00A23F33" w:rsidRPr="00DD0783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lastRenderedPageBreak/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:rsidR="00A23F33" w:rsidRPr="00DD0783" w:rsidRDefault="00A23F33" w:rsidP="00A46F45">
            <w:pPr>
              <w:spacing w:before="120" w:after="120" w:line="240" w:lineRule="auto"/>
              <w:jc w:val="both"/>
            </w:pPr>
            <w:r w:rsidRPr="00DD0783">
              <w:t>W przypadku przedsiębiorców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przed 1 stycznia 2014 r.</w:t>
            </w:r>
            <w:r w:rsidR="00EF14EA">
              <w:rPr>
                <w:rStyle w:val="Odwoanieprzypisudolnego"/>
              </w:rPr>
              <w:footnoteReference w:id="5"/>
            </w:r>
            <w:r w:rsidRPr="00DD0783">
              <w:t>;</w:t>
            </w:r>
          </w:p>
          <w:p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  <w:t>w terminie niezgodnym z umową o dofinansowanie projektu;</w:t>
            </w:r>
          </w:p>
          <w:p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</w:t>
            </w:r>
            <w:r w:rsidR="005A2D3C">
              <w:t> </w:t>
            </w:r>
            <w:r w:rsidRPr="00DD0783">
              <w:t>umowie stanowią wydatki niekwalifikowalne.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Przygotowanie dokumentacji projektu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>dofinansowanie. Wydatki poniesione na dokumenty o</w:t>
            </w:r>
            <w:r w:rsidR="005A2D3C">
              <w:t> </w:t>
            </w:r>
            <w:r w:rsidRPr="00DD0783">
              <w:t xml:space="preserve">charakterze planistycznym, takie jak Lokalny Plan Rewitalizacji czy Program Gospodarki Niskoemisyjnej, nie mogą stanowić kosztów kwalifikowalnych w projekcie. 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Pr="00DD0783">
              <w:t xml:space="preserve"> dokumentacji związanej </w:t>
            </w:r>
            <w:r w:rsidRPr="00DD0783">
              <w:br/>
              <w:t>z przygotowaniem projektu:</w:t>
            </w:r>
          </w:p>
          <w:p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28" w:hanging="328"/>
            </w:pPr>
            <w:r w:rsidRPr="00DD0783">
              <w:t xml:space="preserve"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</w:t>
            </w:r>
            <w:r w:rsidRPr="00DD0783">
              <w:lastRenderedPageBreak/>
              <w:t>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innej dokumentacji technicznej lub finansowej niezbędnej do realizacji projektu (np. projekt budowlany, raport oddziaływania na środowisko, ekspertyzy).</w:t>
            </w:r>
          </w:p>
          <w:p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VAT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:rsidR="00D45B3E" w:rsidRDefault="00931174" w:rsidP="003B2988">
            <w:pPr>
              <w:spacing w:before="120" w:after="120" w:line="240" w:lineRule="auto"/>
              <w:jc w:val="both"/>
            </w:pPr>
            <w:r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</w:t>
            </w:r>
            <w:r w:rsidR="005A2D3C">
              <w:t> </w:t>
            </w:r>
            <w:r w:rsidR="00D45B3E">
              <w:t>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D45B3E">
              <w:t>.</w:t>
            </w:r>
          </w:p>
          <w:p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>W przypadku kwalifikowalnego podatku VAT w projekcie Beneficjent 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t>Wkład niepieniężny</w:t>
            </w:r>
          </w:p>
        </w:tc>
        <w:tc>
          <w:tcPr>
            <w:tcW w:w="3562" w:type="pct"/>
            <w:vAlign w:val="center"/>
          </w:tcPr>
          <w:p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:rsidR="00A055C8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:rsidR="00894767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:rsidR="00894767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:rsidR="00A2094C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:rsidR="00A2094C" w:rsidRPr="00DD0783" w:rsidRDefault="00D57423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 xml:space="preserve">. </w:t>
            </w:r>
            <w:r w:rsidR="00E7606F" w:rsidRPr="00DD0783">
              <w:br/>
            </w:r>
            <w:r w:rsidR="00A2094C" w:rsidRPr="00DD0783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 na ubezpieczenie nieobowiązkowe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6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 xml:space="preserve"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1D03FF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:rsidR="00A23F33" w:rsidRPr="00DD0783" w:rsidRDefault="00A23F33" w:rsidP="00E71C56">
            <w:pPr>
              <w:numPr>
                <w:ilvl w:val="0"/>
                <w:numId w:val="24"/>
              </w:numPr>
              <w:spacing w:after="120" w:line="240" w:lineRule="auto"/>
              <w:ind w:left="357" w:hanging="357"/>
            </w:pPr>
            <w:r w:rsidRPr="00DD0783">
              <w:t>wydatki na ewaluację.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  <w:r w:rsidR="005F13D7"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 xml:space="preserve">Kwalifikowalne są wydatki związane z wynagrodzeniem </w:t>
            </w:r>
            <w:r w:rsidR="00556119">
              <w:t xml:space="preserve">osób wykonujących </w:t>
            </w:r>
            <w:r w:rsidRPr="00DD0783">
              <w:t>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 xml:space="preserve">eneficjenta, </w:t>
            </w:r>
            <w:r w:rsidR="00556119">
              <w:t>P</w:t>
            </w:r>
            <w:r w:rsidRPr="00DD0783">
              <w:t xml:space="preserve">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</w:t>
            </w:r>
            <w:r w:rsidR="00556119">
              <w:t xml:space="preserve">Powyższe limity są </w:t>
            </w:r>
            <w:r w:rsidRPr="00DD0783">
              <w:t>liczon</w:t>
            </w:r>
            <w:r w:rsidR="00556119">
              <w:t>e</w:t>
            </w:r>
            <w:r w:rsidRPr="00DD0783">
              <w:t xml:space="preserve">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lastRenderedPageBreak/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:rsidR="00751EAB" w:rsidRPr="00DD0783" w:rsidRDefault="00751EAB" w:rsidP="00E71C56">
            <w:pPr>
              <w:pStyle w:val="Akapitzlist"/>
              <w:numPr>
                <w:ilvl w:val="0"/>
                <w:numId w:val="21"/>
              </w:numPr>
              <w:jc w:val="both"/>
            </w:pPr>
            <w:r w:rsidRPr="00DD0783">
              <w:t>1.4 Bc i C</w:t>
            </w:r>
            <w:r w:rsidR="00474CDD" w:rsidRPr="00DD0783">
              <w:rPr>
                <w:rStyle w:val="Odwoanieprzypisudolnego"/>
              </w:rPr>
              <w:footnoteReference w:id="8"/>
            </w:r>
            <w:r w:rsidR="00B46B35" w:rsidRPr="00DD0783">
              <w:t>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Katalog schematów może być przez IZ RPO WD uzupełniany w trakcie wdrażania programu.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>dla których stosowne uregulowania znajdą się w</w:t>
            </w:r>
            <w:r w:rsidR="002B102C">
              <w:rPr>
                <w:u w:val="single"/>
              </w:rPr>
              <w:t xml:space="preserve"> zapisach dot</w:t>
            </w:r>
            <w:r w:rsidR="002F108B">
              <w:rPr>
                <w:u w:val="single"/>
              </w:rPr>
              <w:t>yczących</w:t>
            </w:r>
            <w:r w:rsidR="002B102C">
              <w:rPr>
                <w:u w:val="single"/>
              </w:rPr>
              <w:t xml:space="preserve"> poszczególnych </w:t>
            </w:r>
            <w:r w:rsidR="002F108B">
              <w:rPr>
                <w:u w:val="single"/>
              </w:rPr>
              <w:t>D</w:t>
            </w:r>
            <w:r w:rsidR="002B102C">
              <w:rPr>
                <w:u w:val="single"/>
              </w:rPr>
              <w:t>ziałań oraz</w:t>
            </w:r>
            <w:r w:rsidRPr="00DD0783">
              <w:rPr>
                <w:u w:val="single"/>
              </w:rPr>
              <w:t xml:space="preserve"> </w:t>
            </w:r>
            <w:r w:rsidR="004B38E8">
              <w:rPr>
                <w:u w:val="single"/>
              </w:rPr>
              <w:t xml:space="preserve">w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>„Wytycznych w zakresie kwalifikowalności wydatków w</w:t>
            </w:r>
            <w:r w:rsidR="005A2D3C">
              <w:rPr>
                <w:i/>
              </w:rPr>
              <w:t> </w:t>
            </w:r>
            <w:r w:rsidRPr="00DD0783">
              <w:rPr>
                <w:i/>
              </w:rPr>
              <w:t>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  <w:r w:rsidR="00582835">
              <w:rPr>
                <w:rStyle w:val="Odwoanieprzypisudolnego"/>
                <w:b/>
              </w:rPr>
              <w:footnoteReference w:id="9"/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 xml:space="preserve">dla których stosowne uregulowania znajdą się w </w:t>
            </w:r>
            <w:r w:rsidR="004B38E8">
              <w:rPr>
                <w:u w:val="single"/>
              </w:rPr>
              <w:t>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="004B38E8" w:rsidRPr="00DD0783">
              <w:rPr>
                <w:u w:val="single"/>
              </w:rPr>
              <w:t xml:space="preserve">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  <w:r w:rsidR="00582835">
              <w:rPr>
                <w:rStyle w:val="Odwoanieprzypisudolnego"/>
                <w:b/>
              </w:rPr>
              <w:footnoteReference w:id="10"/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</w:t>
            </w:r>
            <w:r w:rsidR="004B38E8">
              <w:rPr>
                <w:u w:val="single"/>
              </w:rPr>
              <w:t xml:space="preserve"> 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Pr="00DD0783">
              <w:rPr>
                <w:u w:val="single"/>
              </w:rPr>
              <w:t xml:space="preserve"> regulaminach konkursów</w:t>
            </w:r>
            <w:r w:rsidRPr="00DD0783"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Rezerwa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t xml:space="preserve">stanowi wydatek kwalifikowalny. </w:t>
            </w:r>
            <w:r w:rsidR="00FD7775" w:rsidRPr="00DD0783">
              <w:t>Zwiększenie wynagrodzenia, o</w:t>
            </w:r>
            <w:r w:rsidR="005A2D3C">
              <w:t> </w:t>
            </w:r>
            <w:r w:rsidR="00FD7775" w:rsidRPr="00DD0783">
              <w:t xml:space="preserve">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t>Cross</w:t>
            </w:r>
            <w:r w:rsidR="00D44C8D" w:rsidRPr="00DD0783">
              <w:rPr>
                <w:b/>
                <w:i/>
              </w:rPr>
              <w:t>-</w:t>
            </w:r>
            <w:r w:rsidRPr="00DD0783">
              <w:rPr>
                <w:b/>
                <w:i/>
              </w:rPr>
              <w:t>financing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>akup gruntu (zabudowanego i niezabudowanego) w projektach objętych pomocą publiczną, w tym częściowo objętych pomocą 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  <w:r w:rsidR="00A32D90">
              <w:t>.</w:t>
            </w:r>
          </w:p>
        </w:tc>
      </w:tr>
    </w:tbl>
    <w:p w:rsidR="00A26918" w:rsidRDefault="00A26918" w:rsidP="003B2988">
      <w:pPr>
        <w:jc w:val="both"/>
        <w:rPr>
          <w:b/>
        </w:rPr>
      </w:pPr>
    </w:p>
    <w:p w:rsidR="00A23F33" w:rsidRPr="00DD0783" w:rsidRDefault="00564793" w:rsidP="00564793">
      <w:pPr>
        <w:jc w:val="center"/>
        <w:rPr>
          <w:b/>
        </w:rPr>
      </w:pPr>
      <w:r w:rsidRPr="00DD0783">
        <w:rPr>
          <w:b/>
        </w:rPr>
        <w:t xml:space="preserve">3.2 SZCZEGÓŁOWE ZAPISY DOTYCZĄCE POSZCZEGÓLNYCH DZIAŁAŃ </w:t>
      </w:r>
      <w:r>
        <w:rPr>
          <w:b/>
        </w:rPr>
        <w:br/>
      </w:r>
      <w:r w:rsidRPr="00DD0783">
        <w:rPr>
          <w:b/>
        </w:rPr>
        <w:t>– WYDATKI NIEKWALIFIKOWALNE</w:t>
      </w:r>
    </w:p>
    <w:p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12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:rsidR="00A23F33" w:rsidRPr="00CD30E3" w:rsidRDefault="00A23F33" w:rsidP="00E71C56">
      <w:pPr>
        <w:pStyle w:val="Akapitzlist"/>
        <w:numPr>
          <w:ilvl w:val="0"/>
          <w:numId w:val="3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:rsidR="00144BB9" w:rsidRPr="00DD0783" w:rsidRDefault="00144BB9" w:rsidP="00E71C56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eastAsia="Times New Roman" w:cs="Times New Roman"/>
        </w:rPr>
        <w:t>Podatek VAT</w:t>
      </w:r>
      <w:r w:rsidR="00703557">
        <w:rPr>
          <w:rStyle w:val="Odwoanieprzypisudolnego"/>
          <w:rFonts w:eastAsia="Times New Roman" w:cs="Times New Roman"/>
        </w:rPr>
        <w:footnoteReference w:id="13"/>
      </w:r>
      <w:r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:rsidR="0020624F" w:rsidRPr="00DD0783" w:rsidRDefault="00EC2BA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14"/>
      </w:r>
      <w:r w:rsidRPr="00DD0783">
        <w:rPr>
          <w:rFonts w:eastAsia="Times New Roman" w:cs="Times New Roman"/>
        </w:rPr>
        <w:t>.</w:t>
      </w:r>
    </w:p>
    <w:p w:rsidR="00E17D76" w:rsidRPr="00DD0783" w:rsidRDefault="00E17D76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15"/>
      </w:r>
      <w:r w:rsidRPr="00DD0783">
        <w:rPr>
          <w:rFonts w:eastAsia="Times New Roman" w:cs="Times New Roman"/>
        </w:rPr>
        <w:t>.</w:t>
      </w:r>
    </w:p>
    <w:p w:rsidR="00DD5F4B" w:rsidRPr="00911BE4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DD5F4B">
        <w:rPr>
          <w:rStyle w:val="Odwoanieprzypisudolnego"/>
        </w:rPr>
        <w:footnoteReference w:id="16"/>
      </w:r>
      <w:r w:rsidR="00DD5F4B" w:rsidRPr="00DD0783">
        <w:rPr>
          <w:rStyle w:val="Odwoanieprzypisukocowego"/>
        </w:rPr>
        <w:endnoteReference w:id="2"/>
      </w:r>
      <w:r w:rsidR="00A46F45">
        <w:t xml:space="preserve"> (z wyłączeniem konkursów, w których znajdą zastosowanie uproszczone metody rozliczania kosztów)</w:t>
      </w:r>
      <w:r w:rsidR="00DD5F4B" w:rsidRPr="00DD0783">
        <w:t>.</w:t>
      </w:r>
    </w:p>
    <w:p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MŚP – wydatki na wdrożenie wyników prac B+R przekraczające 49% całkowitej wartości wydatków kwalifikowalnych.</w:t>
      </w:r>
    </w:p>
    <w:p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dużych przedsiębiorstw – wydatki na wdrożenie wyników prac B+R.</w:t>
      </w:r>
    </w:p>
    <w:p w:rsidR="00DD5F4B" w:rsidRPr="00E71C56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E71C56">
        <w:rPr>
          <w:rFonts w:eastAsia="Times New Roman" w:cs="Times New Roman"/>
        </w:rPr>
        <w:t>Szacunkowe koszty płacy wynikające z utworzenia miejsc pracy w następstwie inwestycji początkowej</w:t>
      </w:r>
    </w:p>
    <w:p w:rsidR="00DD5F4B" w:rsidRDefault="00DD5F4B" w:rsidP="00DB74FC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3C7609">
        <w:rPr>
          <w:rFonts w:eastAsia="Times New Roman" w:cs="Times New Roman"/>
          <w:szCs w:val="24"/>
        </w:rPr>
        <w:t>Połączenie kosztów wchodzących w zakres art. 14 GBER</w:t>
      </w:r>
      <w:r w:rsidRPr="003C7609" w:rsidDel="00176EB7">
        <w:rPr>
          <w:rFonts w:eastAsia="Times New Roman" w:cs="Times New Roman"/>
          <w:szCs w:val="24"/>
        </w:rPr>
        <w:t xml:space="preserve"> </w:t>
      </w:r>
      <w:r w:rsidRPr="003C7609">
        <w:rPr>
          <w:rFonts w:eastAsia="Times New Roman" w:cs="Times New Roman"/>
          <w:szCs w:val="24"/>
        </w:rPr>
        <w:t>ust. 4 lit. a) i b)</w:t>
      </w:r>
      <w:r w:rsidR="000B4D29" w:rsidRPr="00E71C56">
        <w:rPr>
          <w:rFonts w:eastAsia="Times New Roman" w:cs="Times New Roman"/>
        </w:rPr>
        <w:t>.</w:t>
      </w:r>
    </w:p>
    <w:p w:rsidR="00DD5F4B" w:rsidRPr="00DD0783" w:rsidRDefault="00DD5F4B" w:rsidP="003B2988">
      <w:pPr>
        <w:pStyle w:val="Akapitzlist"/>
        <w:spacing w:after="0"/>
        <w:jc w:val="both"/>
      </w:pPr>
    </w:p>
    <w:p w:rsidR="00DD5F4B" w:rsidRPr="00DD0783" w:rsidRDefault="00DD5F4B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B:</w:t>
      </w:r>
    </w:p>
    <w:p w:rsidR="00DD5F4B" w:rsidRPr="00DD0783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:rsidR="00F64A55" w:rsidRPr="00DD0783" w:rsidRDefault="00DD5F4B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C61D29">
        <w:rPr>
          <w:rStyle w:val="Odwoanieprzypisudolnego"/>
          <w:rFonts w:eastAsia="Times New Roman" w:cs="Times New Roman"/>
        </w:rPr>
        <w:footnoteReference w:id="17"/>
      </w:r>
      <w:r w:rsidRPr="00DD0783">
        <w:rPr>
          <w:rFonts w:eastAsia="Times New Roman" w:cs="Times New Roman"/>
        </w:rPr>
        <w:t>.</w:t>
      </w:r>
    </w:p>
    <w:p w:rsidR="00F64A55" w:rsidRPr="00DD0783" w:rsidRDefault="00F64A55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8"/>
      </w:r>
      <w:r w:rsidRPr="00DD0783">
        <w:rPr>
          <w:rFonts w:eastAsia="Times New Roman" w:cs="Times New Roman"/>
        </w:rPr>
        <w:t xml:space="preserve">. </w:t>
      </w:r>
    </w:p>
    <w:p w:rsidR="001D4A2D" w:rsidRPr="00DD0783" w:rsidRDefault="001D4A2D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bookmarkStart w:id="9" w:name="_Hlk492640902"/>
      <w:r w:rsidRPr="00DD0783">
        <w:rPr>
          <w:rFonts w:eastAsia="Times New Roman" w:cs="Times New Roman"/>
        </w:rPr>
        <w:lastRenderedPageBreak/>
        <w:t>Wydatki na budowę, przebudowę, odbudowę, rozbudowę, nadbudowę obiektu budowlanego przekraczające 50% całkowitych wydatków kwalifikowalnych projektu</w:t>
      </w:r>
      <w:bookmarkEnd w:id="9"/>
      <w:r w:rsidRPr="00DD0783">
        <w:rPr>
          <w:rFonts w:eastAsia="Times New Roman" w:cs="Times New Roman"/>
        </w:rPr>
        <w:t>.</w:t>
      </w:r>
    </w:p>
    <w:p w:rsidR="00954E4C" w:rsidRPr="00DD0783" w:rsidRDefault="00954E4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19"/>
      </w:r>
      <w:r w:rsidR="001213D3" w:rsidRPr="00DD0783">
        <w:t>.</w:t>
      </w:r>
    </w:p>
    <w:p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6B4515" w:rsidRPr="00DD0783">
        <w:rPr>
          <w:rFonts w:eastAsia="Times New Roman" w:cs="Times New Roman"/>
          <w:b/>
        </w:rPr>
        <w:t>:</w:t>
      </w:r>
    </w:p>
    <w:p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 xml:space="preserve">D: 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20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21"/>
      </w:r>
      <w:r w:rsidRPr="00DD0783">
        <w:rPr>
          <w:rFonts w:cs="Arial"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22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 xml:space="preserve">Wydatki na wynagrodzenia będące efektem tworzenia nowych miejsc pracy.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23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11" w:name="_Toc194291240"/>
      <w:bookmarkStart w:id="12" w:name="_Toc209405135"/>
      <w:r w:rsidR="00A23F33" w:rsidRPr="00DD0783">
        <w:rPr>
          <w:b/>
        </w:rPr>
        <w:t xml:space="preserve"> </w:t>
      </w:r>
      <w:bookmarkEnd w:id="11"/>
      <w:bookmarkEnd w:id="12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:rsidR="00A23F33" w:rsidRPr="00DD0783" w:rsidRDefault="00A23F33" w:rsidP="00E71C56">
      <w:pPr>
        <w:pStyle w:val="Akapitzlist"/>
        <w:numPr>
          <w:ilvl w:val="0"/>
          <w:numId w:val="22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24"/>
      </w:r>
      <w:r w:rsidRPr="00DD0783">
        <w:rPr>
          <w:rFonts w:eastAsiaTheme="majorEastAsia" w:cstheme="majorBidi"/>
          <w:bCs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a. 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5"/>
      </w:r>
      <w:r w:rsidRPr="00DD0783">
        <w:t>.</w:t>
      </w:r>
    </w:p>
    <w:p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lastRenderedPageBreak/>
        <w:t>Wydatki związane z działaniami informacyjno-promocyjnymi projektu</w:t>
      </w:r>
      <w:r w:rsidR="00BA34D4" w:rsidRPr="00DD0783">
        <w:rPr>
          <w:rStyle w:val="Odwoanieprzypisudolnego"/>
        </w:rPr>
        <w:footnoteReference w:id="26"/>
      </w:r>
      <w:r w:rsidRPr="00DD0783">
        <w:t>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przeznaczone na oprogramowanie dedykowane.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7"/>
      </w:r>
      <w:r w:rsidRPr="00DD0783">
        <w:rPr>
          <w:rFonts w:eastAsia="Times New Roman" w:cs="Times New Roman"/>
        </w:rPr>
        <w:t xml:space="preserve">). 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8"/>
      </w:r>
      <w:r w:rsidRPr="00DD0783">
        <w:t>.</w:t>
      </w:r>
    </w:p>
    <w:p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29"/>
      </w:r>
      <w:r w:rsidRPr="00DD0783">
        <w:rPr>
          <w:rFonts w:eastAsia="Times New Roman" w:cs="Times New Roman"/>
        </w:rPr>
        <w:t>.</w:t>
      </w:r>
    </w:p>
    <w:p w:rsidR="00A23F3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30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:rsidR="00214A63" w:rsidRPr="000B129E" w:rsidRDefault="00214A63" w:rsidP="001B7507">
      <w:pPr>
        <w:spacing w:after="0"/>
        <w:jc w:val="both"/>
        <w:rPr>
          <w:rFonts w:eastAsia="Times New Roman" w:cs="Times New Roman"/>
        </w:rPr>
      </w:pPr>
      <w:r w:rsidRPr="000B129E">
        <w:rPr>
          <w:rFonts w:eastAsia="Times New Roman" w:cs="Times New Roman"/>
        </w:rPr>
        <w:t>1.5 A</w:t>
      </w:r>
      <w:r w:rsidR="00AF3591" w:rsidRPr="000B129E">
        <w:rPr>
          <w:rStyle w:val="Odwoanieprzypisudolnego"/>
          <w:rFonts w:eastAsia="Times New Roman" w:cs="Times New Roman"/>
        </w:rPr>
        <w:footnoteReference w:id="31"/>
      </w:r>
      <w:r w:rsidRPr="000B129E">
        <w:rPr>
          <w:rFonts w:eastAsia="Times New Roman" w:cs="Times New Roman"/>
        </w:rPr>
        <w:t>:</w:t>
      </w:r>
    </w:p>
    <w:p w:rsidR="001B7507" w:rsidRPr="0054205A" w:rsidRDefault="001B7507" w:rsidP="00E71C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:rsidR="001B7507" w:rsidRDefault="001B7507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zakup </w:t>
      </w:r>
      <w:r w:rsidRPr="00D20920">
        <w:rPr>
          <w:rFonts w:ascii="Calibri" w:hAnsi="Calibri" w:cs="Calibri"/>
          <w:color w:val="000000"/>
        </w:rPr>
        <w:t xml:space="preserve"> ruchomych środków trwałych</w:t>
      </w:r>
      <w:r>
        <w:rPr>
          <w:rFonts w:ascii="Calibri" w:hAnsi="Calibri" w:cs="Calibri"/>
          <w:color w:val="000000"/>
        </w:rPr>
        <w:t>,</w:t>
      </w:r>
    </w:p>
    <w:p w:rsidR="000B129E" w:rsidRDefault="000B129E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</w:t>
      </w:r>
    </w:p>
    <w:p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:rsidR="00A23F33" w:rsidRPr="00DD0783" w:rsidRDefault="00A23F33" w:rsidP="00E71C56">
      <w:pPr>
        <w:pStyle w:val="Akapitzlist"/>
        <w:numPr>
          <w:ilvl w:val="0"/>
          <w:numId w:val="18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:rsidR="00A23F33" w:rsidRPr="00DD0783" w:rsidRDefault="00A23F33" w:rsidP="00E71C56">
      <w:pPr>
        <w:pStyle w:val="Akapitzlist"/>
        <w:numPr>
          <w:ilvl w:val="0"/>
          <w:numId w:val="18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utrzymaniem/hostingiem/hotelingiem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lastRenderedPageBreak/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:rsidR="009261C8" w:rsidRPr="00DD0783" w:rsidRDefault="009261C8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32"/>
      </w:r>
      <w:r w:rsidR="00176EB7" w:rsidRPr="00DD0783">
        <w:rPr>
          <w:rFonts w:eastAsia="Calibri"/>
        </w:rPr>
        <w:t>.</w:t>
      </w:r>
    </w:p>
    <w:p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demontażem urządzeń służących produkcji energii pochodzącej z konwencjonalnych źródeł energii, tj. paliw kopalnych (np. węgiel kamienny, węgiel brunatny, ropa naftowa, gaz ziemny).</w:t>
      </w:r>
    </w:p>
    <w:p w:rsidR="003660EA" w:rsidRPr="00DD0783" w:rsidRDefault="003660EA" w:rsidP="00E71C56">
      <w:pPr>
        <w:numPr>
          <w:ilvl w:val="0"/>
          <w:numId w:val="16"/>
        </w:numPr>
        <w:spacing w:after="0"/>
        <w:jc w:val="both"/>
      </w:pPr>
      <w:r w:rsidRPr="00DD0783">
        <w:t>Wydatki związane z przesyłem energii</w:t>
      </w:r>
      <w:r w:rsidRPr="00DD0783">
        <w:rPr>
          <w:rStyle w:val="Odwoanieprzypisudolnego"/>
        </w:rPr>
        <w:footnoteReference w:id="33"/>
      </w:r>
      <w:r w:rsidRPr="00DD0783">
        <w:t>.</w:t>
      </w:r>
    </w:p>
    <w:p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zakupem środków transportu.</w:t>
      </w:r>
    </w:p>
    <w:p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34"/>
      </w:r>
      <w:r w:rsidRPr="00DD0783">
        <w:rPr>
          <w:rFonts w:eastAsia="Times New Roman" w:cs="Times New Roman"/>
        </w:rPr>
        <w:t>.</w:t>
      </w:r>
    </w:p>
    <w:p w:rsidR="0089612D" w:rsidRPr="00DD0783" w:rsidRDefault="0089612D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:rsidR="00A23F33" w:rsidRPr="00DD0783" w:rsidRDefault="00A23F33" w:rsidP="00E71C56">
      <w:pPr>
        <w:numPr>
          <w:ilvl w:val="0"/>
          <w:numId w:val="17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35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36"/>
      </w:r>
      <w:r w:rsidRPr="00DD0783">
        <w:rPr>
          <w:rFonts w:eastAsia="TTE1ABE920t00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7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:rsidR="001E33E2" w:rsidRPr="00DD0783" w:rsidRDefault="001E33E2" w:rsidP="00E71C56">
      <w:pPr>
        <w:pStyle w:val="Akapitzlist"/>
        <w:numPr>
          <w:ilvl w:val="0"/>
          <w:numId w:val="17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8"/>
      </w:r>
      <w:r w:rsidRPr="00DD0783">
        <w:t>.</w:t>
      </w:r>
    </w:p>
    <w:p w:rsidR="001213D3" w:rsidRPr="00DD0783" w:rsidRDefault="001D4A2D" w:rsidP="00E71C56">
      <w:pPr>
        <w:pStyle w:val="Akapitzlist"/>
        <w:numPr>
          <w:ilvl w:val="0"/>
          <w:numId w:val="17"/>
        </w:numPr>
        <w:jc w:val="both"/>
      </w:pPr>
      <w:r w:rsidRPr="00DD0783">
        <w:rPr>
          <w:rFonts w:eastAsia="Times New Roman" w:cs="Times New Roman"/>
        </w:rPr>
        <w:t xml:space="preserve">Wydatki na roboty budowlane nie związane bezpośrednio z poprawą efektywności energetycznej (np. nie wynikające z audytu, dot. remontu sanitariatów, zmiana układu </w:t>
      </w:r>
      <w:r w:rsidRPr="00DD0783">
        <w:rPr>
          <w:rFonts w:eastAsia="Times New Roman" w:cs="Times New Roman"/>
        </w:rPr>
        <w:lastRenderedPageBreak/>
        <w:t>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39"/>
      </w:r>
      <w:r w:rsidRPr="00DD0783">
        <w:rPr>
          <w:rFonts w:eastAsia="Times New Roman" w:cs="Times New Roman"/>
        </w:rPr>
        <w:t>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  <w:r w:rsidR="00FC0A69">
        <w:t xml:space="preserve"> Typ 3.3 e: niekwalifikowalne są </w:t>
      </w:r>
      <w:r w:rsidR="00880E60">
        <w:t xml:space="preserve">w całości </w:t>
      </w:r>
      <w:r w:rsidR="00FC0A69">
        <w:t xml:space="preserve">wszystkie </w:t>
      </w:r>
      <w:r w:rsidR="00880E60">
        <w:t xml:space="preserve">wymienione </w:t>
      </w:r>
      <w:r w:rsidR="00FC0A69">
        <w:t>wydatki</w:t>
      </w:r>
      <w:r w:rsidR="00880E60">
        <w:t xml:space="preserve"> na wymianę oświetlenia i urządzeń elektrycznych</w:t>
      </w:r>
      <w:r w:rsidR="001678D7">
        <w:rPr>
          <w:rStyle w:val="Odwoanieprzypisudolnego"/>
        </w:rPr>
        <w:footnoteReference w:id="40"/>
      </w:r>
      <w:r w:rsidR="00880E60">
        <w:t>.</w:t>
      </w:r>
    </w:p>
    <w:p w:rsidR="00014B07" w:rsidRPr="00DD078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 w:rsidR="00351541">
        <w:t xml:space="preserve"> </w:t>
      </w:r>
      <w:r w:rsidR="00351541" w:rsidRPr="00982B0D">
        <w:t>Nie dotyczy typu 3.3 e</w:t>
      </w:r>
      <w:r w:rsidR="004928C4" w:rsidRPr="00982B0D">
        <w:t>.</w:t>
      </w:r>
    </w:p>
    <w:p w:rsidR="00A23F33" w:rsidRPr="00DD0783" w:rsidRDefault="00014B07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41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:rsidR="00A23F33" w:rsidRPr="009E58A1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/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modernizacja klatki schodowej, remont/modernizacja instalacji w zakresie nie związanym bezpośrednio z poprawą efektywności energetycznej, zagospodarowanie terenu, itp.).</w:t>
      </w:r>
      <w:r w:rsidR="00283995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Wyjątek stanowią wydatki na prace niezbędne do poprawy efektywności ale bezpośrednio z nią nie związane, bez których nie da się skutecznie zrealizować prac bezpośrednio związanych z poprawą efektywności, np. osuszenie ścian, naprawa i uzupełnienie ubytków przegrody przed zamocowaniem izolacji itp. Zasada ta nie dotyczy również usprawnień na rzecz osób niepełnosprawnych, związanych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>realizacją koncepcji uniwersalnego projektowania, o której mowa w Wytycznych w zakresie realizacji zasady równości szans i niedyskryminacji,</w:t>
      </w:r>
      <w:r w:rsidR="00AC51C3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 tym dostępności dla osób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 xml:space="preserve"> niepełnosprawnościami oraz zasady równości szans kobiet i mężczyzn w ramach funduszy unijnych na lata 2014-2020</w:t>
      </w:r>
      <w:r w:rsidR="008618B2">
        <w:rPr>
          <w:rFonts w:eastAsia="Times New Roman" w:cs="Times New Roman"/>
        </w:rPr>
        <w:t xml:space="preserve"> </w:t>
      </w:r>
      <w:r w:rsidR="00492E18">
        <w:rPr>
          <w:rFonts w:eastAsia="Times New Roman" w:cs="Times New Roman"/>
        </w:rPr>
        <w:t>(dla</w:t>
      </w:r>
      <w:r w:rsidR="00FC0A69">
        <w:rPr>
          <w:rFonts w:eastAsia="Times New Roman" w:cs="Times New Roman"/>
        </w:rPr>
        <w:t xml:space="preserve"> </w:t>
      </w:r>
      <w:r w:rsidR="00EE0968">
        <w:rPr>
          <w:rFonts w:eastAsia="Times New Roman" w:cs="Times New Roman"/>
        </w:rPr>
        <w:t>T</w:t>
      </w:r>
      <w:r w:rsidR="00FC0A69">
        <w:rPr>
          <w:rFonts w:eastAsia="Times New Roman" w:cs="Times New Roman"/>
        </w:rPr>
        <w:t>yp</w:t>
      </w:r>
      <w:r w:rsidR="00492E18">
        <w:rPr>
          <w:rFonts w:eastAsia="Times New Roman" w:cs="Times New Roman"/>
        </w:rPr>
        <w:t>u</w:t>
      </w:r>
      <w:r w:rsidR="00FC0A69">
        <w:rPr>
          <w:rFonts w:eastAsia="Times New Roman" w:cs="Times New Roman"/>
        </w:rPr>
        <w:t xml:space="preserve"> 3.3 e</w:t>
      </w:r>
      <w:r w:rsidR="00EE0968">
        <w:rPr>
          <w:rFonts w:eastAsia="Times New Roman" w:cs="Times New Roman"/>
        </w:rPr>
        <w:t>:</w:t>
      </w:r>
      <w:r w:rsidR="00FC0A69">
        <w:rPr>
          <w:rFonts w:eastAsia="Times New Roman" w:cs="Times New Roman"/>
        </w:rPr>
        <w:t xml:space="preserve"> </w:t>
      </w:r>
      <w:r w:rsidR="00492E18">
        <w:rPr>
          <w:rFonts w:eastAsia="Times New Roman" w:cs="Times New Roman"/>
        </w:rPr>
        <w:t xml:space="preserve">usprawnienia dla osób niepełnosprawnych </w:t>
      </w:r>
      <w:r w:rsidR="00EE0968">
        <w:rPr>
          <w:rFonts w:eastAsia="Times New Roman" w:cs="Times New Roman"/>
        </w:rPr>
        <w:t xml:space="preserve">tylko do </w:t>
      </w:r>
      <w:r w:rsidR="00FC0A69">
        <w:rPr>
          <w:rFonts w:eastAsia="Times New Roman" w:cs="Times New Roman"/>
        </w:rPr>
        <w:t>10%</w:t>
      </w:r>
      <w:r w:rsidR="00EE0968">
        <w:rPr>
          <w:rFonts w:eastAsia="Times New Roman" w:cs="Times New Roman"/>
        </w:rPr>
        <w:t xml:space="preserve"> wydatków kwalifikowalnych w projekcie</w:t>
      </w:r>
      <w:r w:rsidR="008618B2">
        <w:rPr>
          <w:rFonts w:eastAsia="Times New Roman" w:cs="Times New Roman"/>
        </w:rPr>
        <w:t>)</w:t>
      </w:r>
      <w:r w:rsidR="00880E60">
        <w:rPr>
          <w:rFonts w:eastAsia="Times New Roman" w:cs="Times New Roman"/>
        </w:rPr>
        <w:t>.</w:t>
      </w:r>
    </w:p>
    <w:p w:rsidR="009C18C1" w:rsidRPr="009E58A1" w:rsidRDefault="009C18C1" w:rsidP="00E71C56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przed rokiem ogłoszenia konkursu.</w:t>
      </w:r>
      <w:r w:rsidR="00617EF1">
        <w:rPr>
          <w:rStyle w:val="Odwoanieprzypisudolnego"/>
          <w:rFonts w:eastAsia="Times New Roman" w:cs="Times New Roman"/>
        </w:rPr>
        <w:footnoteReference w:id="42"/>
      </w:r>
    </w:p>
    <w:p w:rsidR="00283995" w:rsidRP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ekoprojektu dla produktów związanych z energią.</w:t>
      </w:r>
    </w:p>
    <w:p w:rsidR="00283995" w:rsidRDefault="00283995" w:rsidP="00880E60">
      <w:pPr>
        <w:pStyle w:val="Akapitzlist"/>
        <w:numPr>
          <w:ilvl w:val="0"/>
          <w:numId w:val="10"/>
        </w:numPr>
        <w:spacing w:after="0"/>
        <w:jc w:val="both"/>
      </w:pPr>
      <w:r>
        <w:t>Wydatki na kotły węglowe</w:t>
      </w:r>
      <w:r w:rsidR="005C33F4">
        <w:t xml:space="preserve"> i olejowe</w:t>
      </w:r>
      <w:r>
        <w:t>, bez względu na to, jakie normy spełniają</w:t>
      </w:r>
      <w:r w:rsidR="00B04376">
        <w:t xml:space="preserve"> oraz na likwidację kotłów gazowych i olejowych</w:t>
      </w:r>
      <w:r w:rsidR="005E6D8D">
        <w:rPr>
          <w:rStyle w:val="Odwoanieprzypisudolnego"/>
        </w:rPr>
        <w:footnoteReference w:id="43"/>
      </w:r>
      <w:r>
        <w:t>.</w:t>
      </w:r>
    </w:p>
    <w:p w:rsidR="006D1FF9" w:rsidRDefault="0091185F" w:rsidP="00880E60">
      <w:pPr>
        <w:spacing w:after="0"/>
        <w:ind w:left="360"/>
        <w:jc w:val="both"/>
      </w:pPr>
      <w:r>
        <w:t>Dodatkowo dla p</w:t>
      </w:r>
      <w:r w:rsidR="006D1FF9">
        <w:t>rojekt</w:t>
      </w:r>
      <w:r>
        <w:t>ów</w:t>
      </w:r>
      <w:r w:rsidR="006D1FF9">
        <w:t xml:space="preserve"> grantow</w:t>
      </w:r>
      <w:r>
        <w:t>ych</w:t>
      </w:r>
      <w:r w:rsidR="006D1FF9">
        <w:t>:</w:t>
      </w:r>
    </w:p>
    <w:p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>W</w:t>
      </w:r>
      <w:r w:rsidRPr="00A8521C">
        <w:t>ydatki na wypełnienie formularza wniosku o dofinansowani</w:t>
      </w:r>
      <w:r>
        <w:t>e</w:t>
      </w:r>
      <w:r w:rsidR="00D93AD2">
        <w:t xml:space="preserve"> projektu (ponoszone przez wnioskodawcę – </w:t>
      </w:r>
      <w:r w:rsidR="009F021E">
        <w:t>G</w:t>
      </w:r>
      <w:r w:rsidR="00D93AD2">
        <w:t>rantobiorcę)</w:t>
      </w:r>
      <w:r>
        <w:t>.</w:t>
      </w:r>
    </w:p>
    <w:p w:rsidR="005241FD" w:rsidRPr="00D97D82" w:rsidRDefault="00AC51C3" w:rsidP="00E71C56">
      <w:pPr>
        <w:pStyle w:val="Akapitzlist"/>
        <w:numPr>
          <w:ilvl w:val="0"/>
          <w:numId w:val="10"/>
        </w:numPr>
        <w:jc w:val="both"/>
      </w:pPr>
      <w:r>
        <w:t>Wydatki poniesione na audyty</w:t>
      </w:r>
      <w:r w:rsidR="009F021E">
        <w:t xml:space="preserve"> </w:t>
      </w:r>
      <w:r w:rsidR="00D15BC4">
        <w:t>/</w:t>
      </w:r>
      <w:r w:rsidR="009F021E">
        <w:t xml:space="preserve"> </w:t>
      </w:r>
      <w:r w:rsidR="00D15BC4">
        <w:t>audyty uproszczone</w:t>
      </w:r>
      <w:r>
        <w:t xml:space="preserve"> sporządzone (lub zaktualizowane) </w:t>
      </w:r>
      <w:r w:rsidR="00A8521C">
        <w:t xml:space="preserve">wcześniej niż </w:t>
      </w:r>
      <w:r>
        <w:t xml:space="preserve">dwa lata </w:t>
      </w:r>
      <w:r w:rsidR="005241FD">
        <w:rPr>
          <w:rFonts w:eastAsia="Times New Roman" w:cs="Times New Roman"/>
        </w:rPr>
        <w:t>przed rokiem ogłoszenia konkursu.</w:t>
      </w:r>
    </w:p>
    <w:p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Wydatki na osobowe koszty zarządzania projektem związane z wynagrodzeniem osoby wykonującej – na podstawie stosunku pracy w oparciu o przepisy kodeksu pracy lub na podstawie umowy cywilnoprawnej bądź innej nienazwanej w oparciu o przepisy kodeksu cywilnego – na rzecz </w:t>
      </w:r>
      <w:r w:rsidR="00C40B9D">
        <w:t>G</w:t>
      </w:r>
      <w:r>
        <w:t>rantodawcy (</w:t>
      </w:r>
      <w:r w:rsidR="00B312B9">
        <w:t>B</w:t>
      </w:r>
      <w:r>
        <w:t>eneficjenta) lub podmiotu realizującego projekt czynności związane z zarządzaniem projektem, jeżeli łącznie nie zostaną spełnione następujące warunki:</w:t>
      </w:r>
    </w:p>
    <w:p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ww. osoba jest bezpośrednio zaangażowana w wykonywanie ww. czynności w ramach projektu;</w:t>
      </w:r>
    </w:p>
    <w:p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mogą być uwzględniane tylko te ww. osoby, które co najmniej w 25% czasu w danym okresie rozliczeniowym wykonują zadania kwalifikowalne w ramach projektu; wówczas za kwalifikowalną może być uznana ta część wynagrodzenia, która odpowiada procentowemu bezpośredniemu zaangażowaniu ww. osoby w wykonywanie czynności w ramach projektu;</w:t>
      </w:r>
    </w:p>
    <w:p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wydatki ponoszone są wyłącznie w okresie realizacji projektu oraz za okres, w którym ww. osoba wykonywała faktycznie czynności związane w ramach projektu.</w:t>
      </w:r>
    </w:p>
    <w:p w:rsidR="00AC51C3" w:rsidRDefault="009C18C1" w:rsidP="00E71C56">
      <w:pPr>
        <w:pStyle w:val="Akapitzlist"/>
        <w:numPr>
          <w:ilvl w:val="0"/>
          <w:numId w:val="10"/>
        </w:numPr>
        <w:jc w:val="both"/>
      </w:pPr>
      <w:r>
        <w:t>Wydatki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poniesione przez potencjalnych </w:t>
      </w:r>
      <w:r w:rsidR="00C40B9D">
        <w:t>G</w:t>
      </w:r>
      <w:r>
        <w:t>rantobiorców nie zakwalifikowanych do projektu lub zakwalifikowanych, którzy zrezygnowali z udziału w</w:t>
      </w:r>
      <w:r w:rsidR="005A2D3C">
        <w:t> </w:t>
      </w:r>
      <w:r>
        <w:t>projekcie.</w:t>
      </w:r>
    </w:p>
    <w:p w:rsidR="009C18C1" w:rsidRDefault="009C18C1" w:rsidP="00E71C56">
      <w:pPr>
        <w:pStyle w:val="Akapitzlist"/>
        <w:numPr>
          <w:ilvl w:val="0"/>
          <w:numId w:val="10"/>
        </w:numPr>
        <w:jc w:val="both"/>
      </w:pPr>
      <w:r>
        <w:t>Wydatki poniesione przez</w:t>
      </w:r>
      <w:r w:rsidR="007120E2">
        <w:t xml:space="preserve"> </w:t>
      </w:r>
      <w:r w:rsidR="00C40B9D">
        <w:t>G</w:t>
      </w:r>
      <w:r>
        <w:t>rantodawcę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potencjalnych </w:t>
      </w:r>
      <w:r w:rsidR="00C40B9D">
        <w:t>G</w:t>
      </w:r>
      <w:r>
        <w:t>rantobiorców nie zakwalifikowanych do projektu lub zakwalifikowanych, którzy zrezygnowali z udziału w</w:t>
      </w:r>
      <w:r w:rsidR="007120E2">
        <w:t> </w:t>
      </w:r>
      <w:r>
        <w:t>projekcie powyżej limitu</w:t>
      </w:r>
      <w:r w:rsidR="00B2539D">
        <w:t xml:space="preserve"> 25% wartości wydatków przewidzianych na audyty w projekcie</w:t>
      </w:r>
      <w:r w:rsidR="009B65DB">
        <w:t xml:space="preserve">, przy czym audyty / uproszczone audyty sporządzone przed zakwalifikowaniem </w:t>
      </w:r>
      <w:r w:rsidR="009F021E">
        <w:t>G</w:t>
      </w:r>
      <w:r w:rsidR="009B65DB">
        <w:t xml:space="preserve">rantobiorców w projekcie, z których wynika, że potencjalny </w:t>
      </w:r>
      <w:r w:rsidR="009F021E">
        <w:t>G</w:t>
      </w:r>
      <w:r w:rsidR="009B65DB">
        <w:t>rantobiorca nie spełni wymogów naboru do projektu – nie mogą być kwalifikowalne</w:t>
      </w:r>
      <w:r w:rsidR="00B2539D">
        <w:t>.</w:t>
      </w:r>
    </w:p>
    <w:p w:rsidR="009C18C1" w:rsidRDefault="00661694" w:rsidP="00E71C56">
      <w:pPr>
        <w:pStyle w:val="Akapitzlist"/>
        <w:numPr>
          <w:ilvl w:val="0"/>
          <w:numId w:val="10"/>
        </w:numPr>
        <w:jc w:val="both"/>
      </w:pPr>
      <w:r>
        <w:t>Koszty zarządzania projektem (</w:t>
      </w:r>
      <w:r w:rsidR="00580F5D">
        <w:t xml:space="preserve">tj. wyłącznie osobowe </w:t>
      </w:r>
      <w:r>
        <w:t>koszty</w:t>
      </w:r>
      <w:r w:rsidR="00580F5D">
        <w:t xml:space="preserve"> zarządzania projektem, koszty wymaganej prawem i/lub regulaminem konkursu dokumentacji, koszty działań informacyjno</w:t>
      </w:r>
      <w:r w:rsidR="00807A53">
        <w:t>-</w:t>
      </w:r>
      <w:r w:rsidR="00580F5D">
        <w:t>promocyjnych, ew. koszty audytów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audytów uproszczonych</w:t>
      </w:r>
      <w:r w:rsidR="00580F5D">
        <w:t xml:space="preserve"> ponoszone przez </w:t>
      </w:r>
      <w:r w:rsidR="00C40B9D">
        <w:t>G</w:t>
      </w:r>
      <w:r w:rsidR="00580F5D">
        <w:t>rantodawcę – w tym przypadku z uwzględnieniem zapisu poprzedzającego niniejszy tiret)</w:t>
      </w:r>
      <w:r>
        <w:t xml:space="preserve"> przekraczające limit 15% wydatków kwalifikowalnych w projekcie</w:t>
      </w:r>
      <w:r w:rsidR="00580F5D">
        <w:t>.</w:t>
      </w:r>
    </w:p>
    <w:p w:rsidR="00C43638" w:rsidRPr="00C43638" w:rsidRDefault="00C43638" w:rsidP="00C43638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C43638">
        <w:rPr>
          <w:rFonts w:cs="Arial"/>
        </w:rPr>
        <w:t xml:space="preserve">Wydatki nie mające bezpośredniego związku </w:t>
      </w:r>
      <w:r w:rsidR="0084221D">
        <w:rPr>
          <w:rFonts w:cs="Arial"/>
        </w:rPr>
        <w:t xml:space="preserve">z </w:t>
      </w:r>
      <w:r w:rsidRPr="00782A35">
        <w:rPr>
          <w:rFonts w:cs="Arial"/>
        </w:rPr>
        <w:t>wymian</w:t>
      </w:r>
      <w:r>
        <w:rPr>
          <w:rFonts w:cs="Arial"/>
        </w:rPr>
        <w:t>ą</w:t>
      </w:r>
      <w:r w:rsidRPr="00782A35">
        <w:rPr>
          <w:rFonts w:cs="Arial"/>
        </w:rPr>
        <w:t xml:space="preserve"> źródła ciepła z ew. dostosowaniem instalacji grzewczej i/lub pozyskiwania ciepłej wody użytkowej, bądź do wytwarzania energii elektrycznej na potrzeby budynku</w:t>
      </w:r>
      <w:r>
        <w:rPr>
          <w:rFonts w:cs="Arial"/>
        </w:rPr>
        <w:t xml:space="preserve"> </w:t>
      </w:r>
      <w:r w:rsidRPr="00782A35">
        <w:rPr>
          <w:rFonts w:cs="Arial"/>
        </w:rPr>
        <w:t>/</w:t>
      </w:r>
      <w:r>
        <w:rPr>
          <w:rFonts w:cs="Arial"/>
        </w:rPr>
        <w:t xml:space="preserve"> </w:t>
      </w:r>
      <w:r w:rsidRPr="00782A35">
        <w:rPr>
          <w:rFonts w:cs="Arial"/>
        </w:rPr>
        <w:t>mieszkania, gdzie wymianie podlega źródło ciepła</w:t>
      </w:r>
      <w:r w:rsidRPr="00C43638">
        <w:rPr>
          <w:rFonts w:cs="Arial"/>
        </w:rPr>
        <w:t xml:space="preserve"> (np. zmiana układu pomieszczeń, wyposażenie pomieszczeń w meble, montaż urządzeń sanitarnych, remont klatki schodowej, wykończenie pomieszczeń, wymiana oświetlenia, urządzeń elektrycznych).</w:t>
      </w:r>
      <w:r w:rsidR="00EC68AE">
        <w:rPr>
          <w:rStyle w:val="Odwoanieprzypisudolnego"/>
          <w:rFonts w:cs="Arial"/>
        </w:rPr>
        <w:footnoteReference w:id="44"/>
      </w:r>
    </w:p>
    <w:p w:rsidR="00C43638" w:rsidRPr="00DD0783" w:rsidRDefault="00C43638" w:rsidP="00E71C56">
      <w:pPr>
        <w:pStyle w:val="Akapitzlist"/>
        <w:numPr>
          <w:ilvl w:val="0"/>
          <w:numId w:val="10"/>
        </w:numPr>
        <w:jc w:val="both"/>
      </w:pPr>
      <w:r>
        <w:t xml:space="preserve">Wydatki </w:t>
      </w:r>
      <w:r w:rsidRPr="00782A35">
        <w:rPr>
          <w:rFonts w:cs="Arial"/>
        </w:rPr>
        <w:t>związan</w:t>
      </w:r>
      <w:r>
        <w:rPr>
          <w:rFonts w:cs="Arial"/>
        </w:rPr>
        <w:t>e</w:t>
      </w:r>
      <w:r w:rsidRPr="00782A35">
        <w:rPr>
          <w:rFonts w:cs="Arial"/>
        </w:rPr>
        <w:t xml:space="preserve"> z realizacją koncepcji uniwersalnego projektowania, o której mowa w </w:t>
      </w:r>
      <w:r w:rsidRPr="00782A35">
        <w:rPr>
          <w:rFonts w:cs="Arial"/>
          <w:i/>
        </w:rPr>
        <w:t>Wytycznych w zakresie realizacji zasady równości szans i niedyskryminacji,</w:t>
      </w:r>
      <w:r w:rsidR="0084221D">
        <w:rPr>
          <w:rFonts w:cs="Arial"/>
          <w:i/>
        </w:rPr>
        <w:t xml:space="preserve"> </w:t>
      </w:r>
      <w:r w:rsidRPr="00782A35">
        <w:rPr>
          <w:rFonts w:cs="Arial"/>
          <w:i/>
        </w:rPr>
        <w:t>w tym dostępności dla osób z niepełnosprawnościami oraz zasady równości szans kobiet i mężczyzn w ramach funduszy unijnych na lata 2014-2020</w:t>
      </w:r>
      <w:r>
        <w:rPr>
          <w:rFonts w:cs="Arial"/>
          <w:iCs/>
        </w:rPr>
        <w:t xml:space="preserve"> przekraczające limit 10% wydatków kwalifikowalnych w projekcie</w:t>
      </w:r>
      <w:bookmarkStart w:id="16" w:name="_Hlk29386816"/>
      <w:r w:rsidR="001678D7">
        <w:rPr>
          <w:rFonts w:cs="Arial"/>
          <w:iCs/>
        </w:rPr>
        <w:t xml:space="preserve"> (dla pojedynczego grantu również obowiązuje limit 10%)</w:t>
      </w:r>
      <w:bookmarkEnd w:id="16"/>
      <w:r w:rsidR="00EC68AE">
        <w:rPr>
          <w:rFonts w:cs="Arial"/>
          <w:iCs/>
        </w:rPr>
        <w:t>.</w:t>
      </w:r>
      <w:r w:rsidR="00EC68AE">
        <w:rPr>
          <w:rStyle w:val="Odwoanieprzypisudolnego"/>
          <w:rFonts w:cs="Arial"/>
          <w:iCs/>
        </w:rPr>
        <w:footnoteReference w:id="45"/>
      </w:r>
    </w:p>
    <w:p w:rsidR="0010120B" w:rsidRDefault="0010120B" w:rsidP="001B7507">
      <w:pPr>
        <w:spacing w:after="0"/>
        <w:jc w:val="both"/>
        <w:rPr>
          <w:b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lastRenderedPageBreak/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:rsidR="0043438C" w:rsidRDefault="0043438C" w:rsidP="00E71C56">
      <w:pPr>
        <w:pStyle w:val="Akapitzlist"/>
        <w:numPr>
          <w:ilvl w:val="0"/>
          <w:numId w:val="10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:rsidR="005514D5" w:rsidRPr="00DD0783" w:rsidRDefault="005514D5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r w:rsidR="00B312B9" w:rsidRPr="00DD0783">
        <w:t>S</w:t>
      </w:r>
      <w:r w:rsidR="00B312B9">
        <w:t>Z</w:t>
      </w:r>
      <w:r w:rsidR="00B312B9" w:rsidRPr="00DD0783">
        <w:t>OOP</w:t>
      </w:r>
      <w:r w:rsidR="005C4AA9" w:rsidRPr="00DD0783">
        <w:t xml:space="preserve">, np. wspólny bilet, </w:t>
      </w:r>
      <w:r w:rsidR="00616985">
        <w:t>infrastruktura niezbędna dla nisko– i bezemisyjnego taboru</w:t>
      </w:r>
      <w:r w:rsidR="007120E2">
        <w:t>,</w:t>
      </w:r>
      <w:r w:rsidR="00616985">
        <w:t xml:space="preserve"> takie jak </w:t>
      </w:r>
      <w:r w:rsidR="005C4AA9" w:rsidRPr="00DD0783">
        <w:t>stacja ładowania pojazdów elektrycznych</w:t>
      </w:r>
      <w:r w:rsidR="00616985">
        <w:t>, stacja tankowania paliw alternatywnych (np. CNG, LNG, LPG)</w:t>
      </w:r>
      <w:r w:rsidR="005C4AA9" w:rsidRPr="00DD0783">
        <w:t xml:space="preserve"> – niekwalifikowalne są wydatki ponad limit 49%</w:t>
      </w:r>
      <w:r w:rsidR="00862CCA" w:rsidRPr="00DD0783">
        <w:rPr>
          <w:rStyle w:val="Odwoanieprzypisudolnego"/>
          <w:b/>
        </w:rPr>
        <w:footnoteReference w:id="46"/>
      </w:r>
      <w:r w:rsidR="005C4AA9" w:rsidRPr="00DD0783">
        <w:t>.</w:t>
      </w:r>
      <w:r w:rsidR="00616985">
        <w:t xml:space="preserve">  W</w:t>
      </w:r>
      <w:r w:rsidR="005A2D3C">
        <w:t> </w:t>
      </w:r>
      <w:r w:rsidR="00616985">
        <w:t>przypadku infrastruktury obsługującej tabor nisko- i bezemisyjny</w:t>
      </w:r>
      <w:r w:rsidR="00B000CD">
        <w:t>,</w:t>
      </w:r>
      <w:r w:rsidR="00616985">
        <w:t xml:space="preserve"> limit 49% dotyczy przypadku, w którym w projekcie nie jest realizowany zakup/modernizacja taboru (typ. 3.4 </w:t>
      </w:r>
      <w:r w:rsidR="00B000CD">
        <w:t>a</w:t>
      </w:r>
      <w:r w:rsidR="00616985">
        <w:t>)</w:t>
      </w:r>
      <w:r w:rsidR="00B000CD">
        <w:t xml:space="preserve"> lecz pozostałe typy (3.4 b, c, d, e). Dla projektów polegających tylko na zakupie/modernizacji taboru (3.4 a) limit wynosi 25%.</w:t>
      </w:r>
    </w:p>
    <w:p w:rsidR="00A23F3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47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</w:t>
      </w:r>
      <w:r w:rsidR="001E5257">
        <w:t>budowy stacji ładowania pojazdów elektrycznych</w:t>
      </w:r>
      <w:r w:rsidRPr="00DD0783">
        <w:t xml:space="preserve">, wówczas wydatki na centrum przesiadkowe powinny stanowić więcej niż </w:t>
      </w:r>
      <w:r w:rsidR="002312B7">
        <w:t>51</w:t>
      </w:r>
      <w:r w:rsidRPr="00DD0783">
        <w:t>%</w:t>
      </w:r>
      <w:r w:rsidR="00862CCA" w:rsidRPr="00DD0783">
        <w:rPr>
          <w:rStyle w:val="Odwoanieprzypisudolnego"/>
        </w:rPr>
        <w:footnoteReference w:id="48"/>
      </w:r>
      <w:r w:rsidRPr="00DD0783">
        <w:t>wydatków kwalifikowalnych, wydatki na drogę do 35% a pozostałą część wydatki na</w:t>
      </w:r>
      <w:r w:rsidR="002312B7">
        <w:t xml:space="preserve"> budowę</w:t>
      </w:r>
      <w:r w:rsidRPr="00DD0783">
        <w:t xml:space="preserve"> </w:t>
      </w:r>
      <w:r w:rsidR="002312B7">
        <w:t>stacji ładowania pojazdów elektrycznych</w:t>
      </w:r>
      <w:r w:rsidRPr="00DD0783">
        <w:t>.</w:t>
      </w:r>
    </w:p>
    <w:p w:rsidR="00A77673" w:rsidRPr="00746B7B" w:rsidRDefault="0022532B" w:rsidP="00746B7B">
      <w:pPr>
        <w:pStyle w:val="Akapitzlist"/>
        <w:numPr>
          <w:ilvl w:val="0"/>
          <w:numId w:val="30"/>
        </w:numPr>
        <w:spacing w:line="240" w:lineRule="auto"/>
        <w:ind w:left="360"/>
        <w:jc w:val="both"/>
        <w:rPr>
          <w:rFonts w:cs="Arial"/>
        </w:rPr>
      </w:pPr>
      <w:r>
        <w:t>Wydatki na pasy ruchu dla rowerów</w:t>
      </w:r>
      <w:r w:rsidR="0009794A">
        <w:t>, drogi</w:t>
      </w:r>
      <w:r w:rsidR="006324CA">
        <w:t xml:space="preserve"> / ścieżki</w:t>
      </w:r>
      <w:r w:rsidR="0009794A">
        <w:t xml:space="preserve"> rowerowe nie będące drogami dla rowerów </w:t>
      </w:r>
      <w:r w:rsidR="0009794A" w:rsidRPr="008D002F">
        <w:rPr>
          <w:rFonts w:cs="Arial"/>
        </w:rPr>
        <w:t>zgodnie z definicją z ustawy z dnia 20 czerwca 1997 r. Prawo o ruchu drogowym</w:t>
      </w:r>
      <w:r w:rsidR="00746B7B">
        <w:rPr>
          <w:rFonts w:cs="Arial"/>
        </w:rPr>
        <w:t>.</w:t>
      </w:r>
      <w:r w:rsidR="0009794A" w:rsidRPr="008D002F">
        <w:rPr>
          <w:rFonts w:cs="Arial"/>
        </w:rPr>
        <w:t xml:space="preserve"> </w:t>
      </w:r>
      <w:r w:rsidR="001113B7" w:rsidRPr="008D002F">
        <w:rPr>
          <w:rFonts w:cs="Arial"/>
        </w:rPr>
        <w:t xml:space="preserve">Dodatkowo </w:t>
      </w:r>
      <w:r w:rsidR="00A77673" w:rsidRPr="008D002F">
        <w:rPr>
          <w:rFonts w:cs="Arial"/>
        </w:rPr>
        <w:t xml:space="preserve">dla typu </w:t>
      </w:r>
      <w:r w:rsidR="001113B7" w:rsidRPr="008D002F">
        <w:rPr>
          <w:rFonts w:cs="Arial"/>
        </w:rPr>
        <w:t>3.4 e</w:t>
      </w:r>
      <w:r w:rsidR="001113B7" w:rsidRPr="00746B7B">
        <w:rPr>
          <w:rFonts w:ascii="Calibri" w:hAnsi="Calibri" w:cstheme="minorHAnsi"/>
          <w:bCs/>
          <w:szCs w:val="24"/>
        </w:rPr>
        <w:t xml:space="preserve"> inwestycje związane z energooszczędnym oświetleniem ulicznym i drogowym przy drogach publicznych:</w:t>
      </w:r>
    </w:p>
    <w:p w:rsidR="001113B7" w:rsidRPr="0045119D" w:rsidRDefault="001113B7" w:rsidP="001113B7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45119D">
        <w:t>Wydatki na audyt efektywności energetycznej sporządzony wcześniej niż dwa lata przed rokiem ogłoszenia konkursu.</w:t>
      </w:r>
    </w:p>
    <w:p w:rsidR="001113B7" w:rsidRPr="0045119D" w:rsidRDefault="001113B7" w:rsidP="001113B7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45119D">
        <w:t xml:space="preserve">Wydatki na budowę nowych odcinków oświetlenia </w:t>
      </w:r>
      <w:r w:rsidRPr="0045119D">
        <w:rPr>
          <w:rFonts w:eastAsia="Times New Roman"/>
        </w:rPr>
        <w:t>powstające poza krańcami obszaru objętego projektem (rozumianego jako istniejący obecnie system oświetlenia) lub na obszarach, które nie były wcześniej oświetlone.</w:t>
      </w:r>
    </w:p>
    <w:p w:rsidR="001113B7" w:rsidRDefault="001113B7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na oświetlenie, które nie jest finansowane przez gminę na podstawie </w:t>
      </w:r>
      <w:r w:rsidRPr="001113B7">
        <w:rPr>
          <w:rFonts w:cs="Arial"/>
        </w:rPr>
        <w:t>art. 18 ust. 1 pkt. 3 ustawy z dnia 10 kwietnia 1997 r. prawo energetyczne</w:t>
      </w:r>
      <w:r>
        <w:rPr>
          <w:rFonts w:cs="Arial"/>
        </w:rPr>
        <w:t>.</w:t>
      </w:r>
    </w:p>
    <w:p w:rsidR="001113B7" w:rsidRPr="00B43F6B" w:rsidRDefault="001113B7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na oświetlenie </w:t>
      </w:r>
      <w:r w:rsidRPr="00D47891">
        <w:rPr>
          <w:color w:val="000000"/>
        </w:rPr>
        <w:t xml:space="preserve">w gminach miejsko – wiejskich </w:t>
      </w:r>
      <w:r w:rsidR="008640C5">
        <w:rPr>
          <w:color w:val="000000"/>
        </w:rPr>
        <w:t xml:space="preserve">jeśli </w:t>
      </w:r>
      <w:r w:rsidRPr="00D47891">
        <w:rPr>
          <w:color w:val="000000"/>
        </w:rPr>
        <w:t xml:space="preserve">co najmniej 35% ilości modernizowanych opraw </w:t>
      </w:r>
      <w:r w:rsidR="008640C5">
        <w:rPr>
          <w:color w:val="000000"/>
        </w:rPr>
        <w:t xml:space="preserve">nie znajduje się na </w:t>
      </w:r>
      <w:r w:rsidRPr="00D47891">
        <w:rPr>
          <w:color w:val="000000"/>
        </w:rPr>
        <w:t>teren</w:t>
      </w:r>
      <w:r w:rsidR="008640C5">
        <w:rPr>
          <w:color w:val="000000"/>
        </w:rPr>
        <w:t>ie</w:t>
      </w:r>
      <w:r w:rsidRPr="00D47891">
        <w:rPr>
          <w:color w:val="000000"/>
        </w:rPr>
        <w:t xml:space="preserve"> miasta</w:t>
      </w:r>
      <w:r w:rsidR="008640C5">
        <w:rPr>
          <w:color w:val="000000"/>
        </w:rPr>
        <w:t>.</w:t>
      </w:r>
    </w:p>
    <w:p w:rsidR="000E1A11" w:rsidRPr="0009794A" w:rsidRDefault="000E1A11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</w:t>
      </w:r>
      <w:r w:rsidR="008640C5">
        <w:rPr>
          <w:rFonts w:cs="Arial"/>
        </w:rPr>
        <w:t xml:space="preserve">na oświetlenie </w:t>
      </w:r>
      <w:r>
        <w:rPr>
          <w:rFonts w:cs="Arial"/>
        </w:rPr>
        <w:t xml:space="preserve">w gminach </w:t>
      </w:r>
      <w:r w:rsidR="008640C5">
        <w:rPr>
          <w:rFonts w:cs="Arial"/>
        </w:rPr>
        <w:t>wiejskich.</w:t>
      </w:r>
    </w:p>
    <w:p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iCs/>
          <w:color w:val="1F497D" w:themeColor="text2"/>
        </w:rPr>
      </w:pPr>
      <w:r w:rsidRPr="00DD0783">
        <w:t>Wydatki związane z działaniami informacyjno-promocyjnymi projektu.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>4.1 Gospodarka odpadami:</w:t>
      </w:r>
    </w:p>
    <w:p w:rsidR="00A23F33" w:rsidRPr="00DD0783" w:rsidRDefault="00A23F33" w:rsidP="00E71C56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:rsidR="00A23F33" w:rsidRPr="00DD0783" w:rsidRDefault="00A23F33" w:rsidP="00E71C56">
      <w:pPr>
        <w:pStyle w:val="Akapitzlist"/>
        <w:numPr>
          <w:ilvl w:val="0"/>
          <w:numId w:val="6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:rsidR="00E74430" w:rsidRPr="00E74430" w:rsidRDefault="00A23F33" w:rsidP="00E74430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>Zakup środków transportu</w:t>
      </w:r>
      <w:r w:rsidR="00E74430">
        <w:t xml:space="preserve"> oraz s</w:t>
      </w:r>
      <w:r w:rsidRPr="00DD0783">
        <w:t xml:space="preserve">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>Krajowym Programie Oczyszczania Ścieków Komunalnych (KPOŚK) – od 2</w:t>
      </w:r>
      <w:r w:rsidR="00E967B2">
        <w:t> </w:t>
      </w:r>
      <w:r w:rsidRPr="00DD0783">
        <w:t>do 10 tys. RLM</w:t>
      </w:r>
      <w:r w:rsidR="00E74430">
        <w:t xml:space="preserve"> (w tym wozów asenizacyjnych) przekraczających 20% wydatków kwalifikowalnych projektu. </w:t>
      </w:r>
    </w:p>
    <w:p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:rsidR="00A23F33" w:rsidRDefault="00A23F33" w:rsidP="00E71C5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:rsidR="002D017D" w:rsidRDefault="00455244" w:rsidP="002F5739">
      <w:pPr>
        <w:pStyle w:val="Akapitzlist"/>
        <w:numPr>
          <w:ilvl w:val="0"/>
          <w:numId w:val="31"/>
        </w:numPr>
        <w:jc w:val="both"/>
      </w:pPr>
      <w:r w:rsidRPr="00455244">
        <w:rPr>
          <w:rFonts w:cs="Times New Roman"/>
        </w:rPr>
        <w:t>Wydatki poniesione na budowę przyłączy kanalizacyjnych i wodociągowych,</w:t>
      </w:r>
      <w:r w:rsidR="002D017D" w:rsidRPr="00455244" w:rsidDel="002D017D">
        <w:rPr>
          <w:rFonts w:cs="Times New Roman"/>
        </w:rPr>
        <w:t xml:space="preserve"> </w:t>
      </w:r>
      <w:r w:rsidR="002D017D">
        <w:t>zdefiniowanych w pkt. 5 i 6 art. 2 ustawy z dnia 7 czerwca 2001 r. o z</w:t>
      </w:r>
      <w:r w:rsidR="00E967B2">
        <w:t>biorowym zaopatrzeniu w wodę i </w:t>
      </w:r>
      <w:r w:rsidR="005D0B21">
        <w:t>zbiorowym odprowadzaniu ścieków</w:t>
      </w:r>
      <w:r w:rsidR="002D017D">
        <w:t>, tj.:</w:t>
      </w:r>
    </w:p>
    <w:p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kanalizacyjne - odcinek przewodu łączącego wewnęt</w:t>
      </w:r>
      <w:r w:rsidR="00E967B2">
        <w:t>rzną instalację kanalizacyjną w </w:t>
      </w:r>
      <w:r>
        <w:t>nieruchomości odbiorcy usług z siecią kanalizacyjną, za pierwszą studzienką, licząc od strony budynku, a w przypadku jej braku do granicy nieruchomości gruntowej;</w:t>
      </w:r>
    </w:p>
    <w:p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wodociągowe - odcinek przewodu łączącego sieć wodociągową z wewnętrzną instalacją wodociągową w nieruchomości odbiorcy usług wraz z zaworem za wodomierzem głównym</w:t>
      </w:r>
      <w:r w:rsidR="00664239">
        <w:t>.</w:t>
      </w:r>
    </w:p>
    <w:p w:rsidR="00455244" w:rsidRPr="0028003C" w:rsidRDefault="00455244" w:rsidP="002F5739">
      <w:pPr>
        <w:pStyle w:val="Akapitzlist"/>
        <w:spacing w:after="0"/>
        <w:jc w:val="both"/>
        <w:rPr>
          <w:rFonts w:cs="Times New Roman"/>
        </w:rPr>
      </w:pPr>
    </w:p>
    <w:p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:rsidR="00A23F33" w:rsidRPr="00DD0783" w:rsidRDefault="00A23F33" w:rsidP="00E71C56">
      <w:pPr>
        <w:pStyle w:val="Akapitzlist"/>
        <w:numPr>
          <w:ilvl w:val="0"/>
          <w:numId w:val="8"/>
        </w:numPr>
        <w:jc w:val="both"/>
      </w:pPr>
      <w:r w:rsidRPr="00DD0783">
        <w:t>Zakup (ruchomych i nieruchomych) dzieł sztuki, w tym m.in. nabycie praw do nich.</w:t>
      </w:r>
    </w:p>
    <w:p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:rsidR="000F7BCE" w:rsidRDefault="00A23F33" w:rsidP="00B43F6B">
      <w:pPr>
        <w:pStyle w:val="Akapitzlist"/>
        <w:numPr>
          <w:ilvl w:val="0"/>
          <w:numId w:val="9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:rsidR="000E298A" w:rsidRPr="00D109AA" w:rsidRDefault="000F7BCE" w:rsidP="00B43F6B">
      <w:pPr>
        <w:pStyle w:val="Akapitzlist"/>
        <w:numPr>
          <w:ilvl w:val="0"/>
          <w:numId w:val="9"/>
        </w:numPr>
        <w:spacing w:after="0"/>
        <w:jc w:val="both"/>
      </w:pPr>
      <w:r>
        <w:t xml:space="preserve">Wydatki przekraczające </w:t>
      </w:r>
      <w:r w:rsidR="009429E9">
        <w:t>4</w:t>
      </w:r>
      <w:r>
        <w:t xml:space="preserve">0% wydatków kwalifikowalnych projektu </w:t>
      </w:r>
      <w:r w:rsidR="001E5BD1" w:rsidRPr="00D109AA">
        <w:t xml:space="preserve">na zwiększenie dostępności do dofinansowywanej infrastruktury </w:t>
      </w:r>
      <w:r w:rsidR="001E5BD1">
        <w:t xml:space="preserve">w postaci </w:t>
      </w:r>
      <w:r w:rsidR="00A3315B">
        <w:t xml:space="preserve">szlaków </w:t>
      </w:r>
      <w:r w:rsidR="001E5BD1">
        <w:t>rowerowych</w:t>
      </w:r>
      <w:r w:rsidR="00B121F8">
        <w:t xml:space="preserve"> </w:t>
      </w:r>
      <w:r w:rsidR="001E5BD1">
        <w:t>– dot. schem</w:t>
      </w:r>
      <w:r w:rsidR="005D6DC1">
        <w:t>a</w:t>
      </w:r>
      <w:r w:rsidR="001E5BD1">
        <w:t>tu 4.4.H</w:t>
      </w:r>
      <w:r w:rsidR="000F6F00">
        <w:t>.</w:t>
      </w:r>
    </w:p>
    <w:p w:rsidR="00A3315B" w:rsidRDefault="005C51F6" w:rsidP="00E0122E">
      <w:pPr>
        <w:pStyle w:val="Akapitzlist"/>
        <w:numPr>
          <w:ilvl w:val="0"/>
          <w:numId w:val="9"/>
        </w:numPr>
        <w:spacing w:after="0"/>
        <w:jc w:val="both"/>
      </w:pPr>
      <w:r>
        <w:t>W</w:t>
      </w:r>
      <w:r w:rsidR="00A3315B">
        <w:t>ydatki na zakup rowerów, kajaków i innego sprzętu sportowo-rekreacyjnego</w:t>
      </w:r>
      <w:r w:rsidR="000E298A">
        <w:t xml:space="preserve"> – dot. schematu 4.4.H</w:t>
      </w:r>
      <w:r w:rsidR="000F6F00">
        <w:t>.</w:t>
      </w:r>
    </w:p>
    <w:p w:rsidR="000E298A" w:rsidRDefault="005C51F6" w:rsidP="00E0122E">
      <w:pPr>
        <w:pStyle w:val="Akapitzlist"/>
        <w:numPr>
          <w:ilvl w:val="0"/>
          <w:numId w:val="9"/>
        </w:numPr>
        <w:spacing w:after="0"/>
        <w:jc w:val="both"/>
      </w:pPr>
      <w:r>
        <w:t>W</w:t>
      </w:r>
      <w:r w:rsidR="00A3315B">
        <w:t>ydatki dot. budowy,</w:t>
      </w:r>
      <w:r w:rsidR="00CA66C1">
        <w:t xml:space="preserve"> przebudowy</w:t>
      </w:r>
      <w:r w:rsidR="00A3315B">
        <w:t xml:space="preserve"> wyposażenia obiektów handlowo-usługowych</w:t>
      </w:r>
      <w:r w:rsidR="000E298A">
        <w:t xml:space="preserve"> – dot. schematu 4.4.H</w:t>
      </w:r>
      <w:r w:rsidR="000F6F00">
        <w:t>.</w:t>
      </w:r>
    </w:p>
    <w:p w:rsidR="000E298A" w:rsidRDefault="005C51F6" w:rsidP="000E298A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>W</w:t>
      </w:r>
      <w:r w:rsidR="000E298A">
        <w:t>ydatki powyżej  5% całkowitych wydatków kwalifikowalnych na drogi dojazdowe do portów i/lub przystani – dot. schematu 4.4.H.</w:t>
      </w:r>
    </w:p>
    <w:p w:rsidR="001B7507" w:rsidRPr="00DD0783" w:rsidRDefault="001B7507" w:rsidP="00E0122E">
      <w:pPr>
        <w:spacing w:after="0"/>
        <w:jc w:val="both"/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4.5 Bezpieczeństwo:</w:t>
      </w:r>
    </w:p>
    <w:p w:rsidR="00A23F33" w:rsidRPr="00DD078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:rsidR="00A23F33" w:rsidRPr="00DD0783" w:rsidRDefault="00A23F33" w:rsidP="00E71C56">
      <w:pPr>
        <w:pStyle w:val="Akapitzlist"/>
        <w:numPr>
          <w:ilvl w:val="0"/>
          <w:numId w:val="9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5.1 Drogowa dostępność transportowa:</w:t>
      </w:r>
    </w:p>
    <w:p w:rsidR="00A23F33" w:rsidRPr="00DD0783" w:rsidRDefault="00A23F33" w:rsidP="00E71C56">
      <w:pPr>
        <w:pStyle w:val="Akapitzlist"/>
        <w:numPr>
          <w:ilvl w:val="0"/>
          <w:numId w:val="13"/>
        </w:numPr>
        <w:spacing w:after="0"/>
        <w:jc w:val="both"/>
      </w:pPr>
      <w:r w:rsidRPr="00DD0783">
        <w:t>Wydatki na zakup (w tym leasing) sprzętu służącego do utrzymania lub remontu dróg.</w:t>
      </w:r>
    </w:p>
    <w:p w:rsidR="00A23F33" w:rsidRPr="00DD0783" w:rsidRDefault="00A23F33" w:rsidP="00E71C56">
      <w:pPr>
        <w:pStyle w:val="Akapitzlist"/>
        <w:numPr>
          <w:ilvl w:val="0"/>
          <w:numId w:val="13"/>
        </w:numPr>
        <w:jc w:val="both"/>
      </w:pPr>
      <w:r w:rsidRPr="00DD0783"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49"/>
      </w:r>
      <w:r w:rsidRPr="00DD0783">
        <w:t xml:space="preserve"> można uznać za kwalifikowalne zgodnie z poniższymi regułami:</w:t>
      </w:r>
    </w:p>
    <w:p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50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51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urządzenia techniczne drogi (np. bariery ochronne, ogrodzenie drogi i inne urządzenia zabezpieczające przed wkroczeniem zwierząt na drogę, osłony przeciwolśnieniowe, osłony przeciwwietrzne) mogą stanowić wydatek kwalifikowalny do wysokości 25% wydatk</w:t>
      </w:r>
      <w:r w:rsidR="003B2988" w:rsidRPr="00DD0783">
        <w:t>ów kwalifikowalnych w projekcie;</w:t>
      </w:r>
    </w:p>
    <w:p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 xml:space="preserve">Wydatki związane z budową, przebudową, modernizacją i/lub remontem infrastruktury technicznej w pasie drogowym niezwiązanej z drogą (np. linie elektroenergetyczne wysokiego </w:t>
      </w:r>
      <w:r w:rsidRPr="00DD0783">
        <w:lastRenderedPageBreak/>
        <w:t>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:rsidR="00A23F33" w:rsidRPr="00DD0783" w:rsidRDefault="00A23F33" w:rsidP="00E71C56">
      <w:pPr>
        <w:pStyle w:val="Akapitzlist"/>
        <w:numPr>
          <w:ilvl w:val="0"/>
          <w:numId w:val="14"/>
        </w:numPr>
        <w:spacing w:after="0"/>
        <w:jc w:val="both"/>
      </w:pPr>
      <w:r w:rsidRPr="00DD0783">
        <w:t xml:space="preserve">Wydatki na remont i bieżące utrzymanie infrastruktury kolejowej. </w:t>
      </w:r>
    </w:p>
    <w:p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infrastrukturę poza obszarem dworca lub przystanku kolejowego, która nie służy bezpośrednio podróżnym korzystającym z połączeń kolejowych na linii, którą obsługuje dworzec lub przystanek kolejowy.</w:t>
      </w:r>
    </w:p>
    <w:p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52"/>
      </w:r>
      <w:r w:rsidRPr="00DD0783">
        <w:t>.</w:t>
      </w:r>
    </w:p>
    <w:p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53"/>
      </w:r>
      <w:r w:rsidRPr="00DD0783">
        <w:t xml:space="preserve"> – w 6.1 C, D, E.</w:t>
      </w:r>
    </w:p>
    <w:p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:rsidR="00A70007" w:rsidRPr="00DD0783" w:rsidRDefault="00A70007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54"/>
      </w:r>
      <w:r w:rsidRPr="00DD0783">
        <w:t>.</w:t>
      </w:r>
    </w:p>
    <w:p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55"/>
      </w:r>
      <w:r w:rsidRPr="00DD0783">
        <w:t>.</w:t>
      </w:r>
    </w:p>
    <w:p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:rsidR="00897BAD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>6.2 Inwestycje w infrastrukturę zdrowotną:</w:t>
      </w:r>
      <w:r w:rsidR="00897BAD">
        <w:rPr>
          <w:b/>
        </w:rPr>
        <w:t xml:space="preserve"> </w:t>
      </w:r>
    </w:p>
    <w:p w:rsidR="00A23F33" w:rsidRPr="00DD0783" w:rsidRDefault="00897BAD" w:rsidP="001B7507">
      <w:pPr>
        <w:pStyle w:val="Akapitzlist"/>
        <w:spacing w:after="0"/>
        <w:ind w:left="0"/>
        <w:jc w:val="both"/>
        <w:rPr>
          <w:b/>
        </w:rPr>
      </w:pPr>
      <w:r>
        <w:rPr>
          <w:b/>
        </w:rPr>
        <w:t>Typ projektu:  6.2.A i 6.2.B</w:t>
      </w:r>
      <w:r w:rsidR="00A23F33" w:rsidRPr="00DD0783">
        <w:rPr>
          <w:b/>
        </w:rPr>
        <w:t>: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56"/>
      </w:r>
      <w:r w:rsidRPr="00DD0783">
        <w:t>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57"/>
      </w:r>
      <w:r w:rsidRPr="00DD0783">
        <w:t>.</w:t>
      </w:r>
    </w:p>
    <w:p w:rsidR="00A23F3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58"/>
      </w:r>
      <w:r w:rsidRPr="00DD0783">
        <w:t>.</w:t>
      </w:r>
    </w:p>
    <w:p w:rsidR="005953E3" w:rsidRDefault="005953E3" w:rsidP="004F19B4">
      <w:pPr>
        <w:pStyle w:val="Akapitzlist"/>
        <w:jc w:val="both"/>
      </w:pPr>
    </w:p>
    <w:p w:rsidR="005953E3" w:rsidRDefault="005953E3" w:rsidP="004F19B4">
      <w:pPr>
        <w:spacing w:after="0"/>
        <w:jc w:val="both"/>
        <w:rPr>
          <w:b/>
        </w:rPr>
      </w:pPr>
      <w:r w:rsidRPr="004F19B4">
        <w:rPr>
          <w:b/>
        </w:rPr>
        <w:t>Typ projektu:  6.2.</w:t>
      </w:r>
      <w:r w:rsidR="00897BAD">
        <w:rPr>
          <w:b/>
        </w:rPr>
        <w:t>C</w:t>
      </w:r>
      <w:r w:rsidRPr="004F19B4">
        <w:rPr>
          <w:b/>
        </w:rPr>
        <w:t>:</w:t>
      </w:r>
    </w:p>
    <w:p w:rsidR="00897BAD" w:rsidRPr="00DD0783" w:rsidRDefault="00897BAD" w:rsidP="00897BAD">
      <w:pPr>
        <w:pStyle w:val="Akapitzlist"/>
        <w:numPr>
          <w:ilvl w:val="0"/>
          <w:numId w:val="5"/>
        </w:numPr>
        <w:jc w:val="both"/>
      </w:pPr>
      <w:r w:rsidRPr="004F19B4">
        <w:t>Wydatki związane z zakupem sprzętu medycznego, na którym będą świadczone usługi medyczne odpłatne</w:t>
      </w:r>
      <w:r w:rsidRPr="00DD0783">
        <w:t>, generujące przychód w projekcie.</w:t>
      </w:r>
    </w:p>
    <w:p w:rsidR="00835E34" w:rsidRPr="004F19B4" w:rsidRDefault="00835E34" w:rsidP="004F19B4">
      <w:pPr>
        <w:pStyle w:val="Akapitzlist"/>
        <w:numPr>
          <w:ilvl w:val="0"/>
          <w:numId w:val="5"/>
        </w:numPr>
        <w:jc w:val="both"/>
      </w:pPr>
      <w:r w:rsidRPr="004F19B4">
        <w:t>Wydatki wykraczające poza zakres rzeczowy ustalony z wojewodą dolnośląskim i</w:t>
      </w:r>
      <w:r w:rsidR="00B90C4B">
        <w:t> </w:t>
      </w:r>
      <w:r w:rsidRPr="004F19B4">
        <w:t>wojewódzkim konsultantem ds. chorób zakaźnych</w:t>
      </w:r>
      <w:r w:rsidR="00B90C4B" w:rsidRPr="004F19B4">
        <w:t>.</w:t>
      </w:r>
    </w:p>
    <w:p w:rsidR="006B4515" w:rsidRDefault="006B4515" w:rsidP="003B2988">
      <w:pPr>
        <w:pStyle w:val="Akapitzlist"/>
        <w:jc w:val="both"/>
      </w:pPr>
    </w:p>
    <w:p w:rsidR="004F19B4" w:rsidRPr="00DD0783" w:rsidRDefault="004F19B4" w:rsidP="003B2988">
      <w:pPr>
        <w:pStyle w:val="Akapitzlist"/>
        <w:jc w:val="both"/>
      </w:pPr>
    </w:p>
    <w:p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lastRenderedPageBreak/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59"/>
      </w:r>
      <w:r w:rsidRPr="00DD0783">
        <w:t>.</w:t>
      </w:r>
    </w:p>
    <w:p w:rsidR="00042236" w:rsidRPr="00DD0783" w:rsidRDefault="00FC3DFA" w:rsidP="00E71C56">
      <w:pPr>
        <w:pStyle w:val="Akapitzlist"/>
        <w:numPr>
          <w:ilvl w:val="0"/>
          <w:numId w:val="12"/>
        </w:numPr>
        <w:jc w:val="both"/>
      </w:pPr>
      <w:bookmarkStart w:id="19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60"/>
      </w:r>
      <w:r w:rsidR="003C461F" w:rsidRPr="00DD0783">
        <w:t xml:space="preserve"> </w:t>
      </w:r>
      <w:bookmarkEnd w:id="19"/>
      <w:r w:rsidR="00B27986">
        <w:t xml:space="preserve"> </w:t>
      </w:r>
      <w:r w:rsidRPr="00DD0783">
        <w:rPr>
          <w:vertAlign w:val="superscript"/>
        </w:rPr>
        <w:footnoteReference w:id="61"/>
      </w:r>
      <w:r w:rsidRPr="00DD0783">
        <w:t>.</w:t>
      </w:r>
      <w:bookmarkStart w:id="20" w:name="_Hlk493154503"/>
    </w:p>
    <w:p w:rsidR="00835141" w:rsidRPr="00DD0783" w:rsidRDefault="00835141" w:rsidP="00E71C56">
      <w:pPr>
        <w:pStyle w:val="Akapitzlist"/>
        <w:numPr>
          <w:ilvl w:val="0"/>
          <w:numId w:val="12"/>
        </w:numPr>
        <w:jc w:val="both"/>
      </w:pPr>
      <w:r w:rsidRPr="00DD0783"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62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63"/>
      </w:r>
      <w:r w:rsidRPr="00DD0783">
        <w:t xml:space="preserve">) </w:t>
      </w:r>
      <w:bookmarkEnd w:id="20"/>
      <w:r w:rsidRPr="00DD0783">
        <w:rPr>
          <w:rStyle w:val="Odwoanieprzypisudolnego"/>
        </w:rPr>
        <w:footnoteReference w:id="64"/>
      </w:r>
      <w:r w:rsidRPr="00DD0783">
        <w:t>.</w:t>
      </w:r>
    </w:p>
    <w:p w:rsidR="00A23F33" w:rsidRPr="00DD0783" w:rsidRDefault="00042236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65"/>
      </w:r>
      <w:r w:rsidR="00981291" w:rsidRPr="00DD0783">
        <w:t>.</w:t>
      </w:r>
    </w:p>
    <w:p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66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67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68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69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70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:rsidR="00FA6BCC" w:rsidRPr="00DD0783" w:rsidRDefault="00FA6BCC" w:rsidP="00E71C5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1"/>
      </w:r>
      <w:r w:rsidRPr="00DD0783">
        <w:rPr>
          <w:rFonts w:eastAsia="Times New Roman" w:cs="Times New Roman"/>
        </w:rPr>
        <w:t>.</w:t>
      </w:r>
    </w:p>
    <w:p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bookmarkStart w:id="21" w:name="_Hlk21428226"/>
      <w:r w:rsidRPr="00DD0783">
        <w:rPr>
          <w:b/>
        </w:rPr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</w:t>
      </w:r>
      <w:bookmarkEnd w:id="21"/>
      <w:r w:rsidR="00A23F33" w:rsidRPr="00DD0783">
        <w:rPr>
          <w:rFonts w:eastAsiaTheme="majorEastAsia" w:cstheme="majorBidi"/>
          <w:b/>
          <w:bCs/>
        </w:rPr>
        <w:t>:</w:t>
      </w:r>
    </w:p>
    <w:p w:rsidR="00A23F33" w:rsidRPr="00DD0783" w:rsidRDefault="00A23F33" w:rsidP="00E71C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:rsidR="00A23F33" w:rsidRPr="00DD0783" w:rsidRDefault="00A23F33" w:rsidP="00E71C56">
      <w:pPr>
        <w:pStyle w:val="Akapitzlist"/>
        <w:numPr>
          <w:ilvl w:val="0"/>
          <w:numId w:val="4"/>
        </w:numPr>
        <w:spacing w:line="240" w:lineRule="auto"/>
        <w:jc w:val="both"/>
      </w:pPr>
      <w:r w:rsidRPr="00DD0783">
        <w:rPr>
          <w:rFonts w:eastAsia="Times New Roman" w:cs="Times New Roman"/>
        </w:rPr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72"/>
      </w:r>
      <w:r w:rsidR="00B27986">
        <w:rPr>
          <w:rFonts w:eastAsia="Times New Roman" w:cs="Times New Roman"/>
        </w:rPr>
        <w:t xml:space="preserve">  </w:t>
      </w:r>
      <w:r w:rsidR="00134C78">
        <w:rPr>
          <w:rStyle w:val="Odwoanieprzypisudolnego"/>
          <w:rFonts w:eastAsia="Times New Roman" w:cs="Times New Roman"/>
        </w:rPr>
        <w:footnoteReference w:id="73"/>
      </w:r>
      <w:r w:rsidRPr="00DD0783">
        <w:t>.</w:t>
      </w:r>
    </w:p>
    <w:p w:rsidR="00A23F3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bookmarkStart w:id="22" w:name="_Hlk21416073"/>
      <w:r w:rsidRPr="00DD0783">
        <w:rPr>
          <w:rFonts w:eastAsia="Times New Roman" w:cs="Times New Roman"/>
        </w:rPr>
        <w:t>Wydatki na infrastrukturę szkolnictwa ponadgimnazjalnego ogólnego w przypadku naborów skierowanych do szkolnictw</w:t>
      </w:r>
      <w:r w:rsidR="004739A6">
        <w:rPr>
          <w:rFonts w:eastAsia="Times New Roman" w:cs="Times New Roman"/>
        </w:rPr>
        <w:t>a</w:t>
      </w:r>
      <w:r w:rsidRPr="00DD0783">
        <w:rPr>
          <w:rFonts w:eastAsia="Times New Roman" w:cs="Times New Roman"/>
        </w:rPr>
        <w:t xml:space="preserve"> ponadgimnazjalnego zawodowego</w:t>
      </w:r>
      <w:r w:rsidRPr="00DD0783">
        <w:rPr>
          <w:rFonts w:eastAsia="Times New Roman" w:cs="Times New Roman"/>
          <w:vertAlign w:val="superscript"/>
        </w:rPr>
        <w:footnoteReference w:id="74"/>
      </w:r>
      <w:r w:rsidR="00B27986">
        <w:rPr>
          <w:rFonts w:eastAsia="Times New Roman" w:cs="Times New Roman"/>
        </w:rPr>
        <w:t xml:space="preserve"> </w:t>
      </w:r>
      <w:r w:rsidR="00995C0A">
        <w:rPr>
          <w:rStyle w:val="Odwoanieprzypisudolnego"/>
          <w:rFonts w:eastAsia="Times New Roman" w:cs="Times New Roman"/>
        </w:rPr>
        <w:footnoteReference w:id="75"/>
      </w:r>
      <w:r w:rsidRPr="00DD0783">
        <w:rPr>
          <w:rFonts w:eastAsia="Times New Roman" w:cs="Times New Roman"/>
        </w:rPr>
        <w:t>.</w:t>
      </w:r>
    </w:p>
    <w:p w:rsidR="009828BB" w:rsidRPr="00DD0783" w:rsidRDefault="009828BB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bookmarkStart w:id="23" w:name="_Hlk21428619"/>
      <w:bookmarkEnd w:id="22"/>
      <w:r w:rsidRPr="00DD0783">
        <w:rPr>
          <w:rFonts w:eastAsia="Times New Roman" w:cs="Times New Roman"/>
        </w:rPr>
        <w:t xml:space="preserve">Wydatki na infrastrukturę </w:t>
      </w:r>
      <w:r>
        <w:rPr>
          <w:rFonts w:eastAsia="Times New Roman" w:cs="Times New Roman"/>
        </w:rPr>
        <w:t>szkół podstawowych</w:t>
      </w:r>
      <w:bookmarkEnd w:id="23"/>
      <w:r>
        <w:rPr>
          <w:rStyle w:val="Odwoanieprzypisudolnego"/>
          <w:rFonts w:eastAsia="Times New Roman" w:cs="Times New Roman"/>
        </w:rPr>
        <w:footnoteReference w:id="76"/>
      </w:r>
      <w:r>
        <w:rPr>
          <w:rFonts w:eastAsia="Times New Roman" w:cs="Times New Roman"/>
        </w:rPr>
        <w:t>.</w:t>
      </w:r>
    </w:p>
    <w:p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Koszty zagospodarowania terenu wokół szkół i placówek oraz budowa dróg dojazdowych, wewnętrznych i parkingów.</w:t>
      </w:r>
    </w:p>
    <w:p w:rsidR="00243F87" w:rsidRPr="00DD0783" w:rsidRDefault="00243F87" w:rsidP="00E71C56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7"/>
      </w:r>
      <w:r w:rsidRPr="00DD0783">
        <w:rPr>
          <w:rFonts w:eastAsia="Times New Roman" w:cs="Times New Roman"/>
        </w:rPr>
        <w:t>.</w:t>
      </w:r>
    </w:p>
    <w:p w:rsidR="00EA19D0" w:rsidRPr="00025329" w:rsidRDefault="00A23F33" w:rsidP="00E71C56">
      <w:pPr>
        <w:pStyle w:val="Akapitzlist"/>
        <w:numPr>
          <w:ilvl w:val="0"/>
          <w:numId w:val="4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zakup używanych środków trwałych.</w:t>
      </w:r>
    </w:p>
    <w:p w:rsidR="00025329" w:rsidRDefault="00025329" w:rsidP="00025329">
      <w:pPr>
        <w:pStyle w:val="Akapitzlist"/>
        <w:tabs>
          <w:tab w:val="left" w:pos="5330"/>
        </w:tabs>
        <w:spacing w:line="240" w:lineRule="auto"/>
        <w:jc w:val="both"/>
        <w:rPr>
          <w:rFonts w:eastAsia="Times New Roman" w:cs="Times New Roman"/>
        </w:rPr>
      </w:pPr>
    </w:p>
    <w:p w:rsidR="00025329" w:rsidRPr="00025329" w:rsidRDefault="00025329" w:rsidP="00F67081">
      <w:pPr>
        <w:pStyle w:val="Akapitzlist"/>
        <w:tabs>
          <w:tab w:val="left" w:pos="5330"/>
        </w:tabs>
        <w:spacing w:line="240" w:lineRule="auto"/>
        <w:jc w:val="both"/>
        <w:rPr>
          <w:b/>
        </w:rPr>
      </w:pPr>
    </w:p>
    <w:p w:rsidR="00526548" w:rsidRDefault="00526548" w:rsidP="00F67081">
      <w:pPr>
        <w:pBdr>
          <w:top w:val="single" w:sz="4" w:space="1" w:color="auto"/>
        </w:pBdr>
        <w:tabs>
          <w:tab w:val="left" w:pos="5330"/>
        </w:tabs>
        <w:spacing w:after="0" w:line="240" w:lineRule="auto"/>
        <w:jc w:val="center"/>
        <w:rPr>
          <w:b/>
        </w:rPr>
      </w:pPr>
    </w:p>
    <w:p w:rsidR="00526548" w:rsidRPr="00A82785" w:rsidRDefault="00526548" w:rsidP="00F67081">
      <w:pPr>
        <w:pBdr>
          <w:top w:val="single" w:sz="4" w:space="1" w:color="auto"/>
        </w:pBdr>
        <w:tabs>
          <w:tab w:val="left" w:pos="5330"/>
        </w:tabs>
        <w:spacing w:line="240" w:lineRule="auto"/>
        <w:jc w:val="center"/>
        <w:rPr>
          <w:b/>
        </w:rPr>
      </w:pPr>
      <w:r w:rsidRPr="00714551">
        <w:rPr>
          <w:b/>
        </w:rPr>
        <w:t xml:space="preserve">4. </w:t>
      </w:r>
      <w:r w:rsidRPr="00A82785">
        <w:rPr>
          <w:b/>
        </w:rPr>
        <w:t>UPROSZCZONE METODY ROZLICZANIA WYDATKÓW</w:t>
      </w:r>
    </w:p>
    <w:p w:rsidR="00526548" w:rsidRDefault="00526548" w:rsidP="00526548">
      <w:pPr>
        <w:tabs>
          <w:tab w:val="left" w:pos="5330"/>
        </w:tabs>
        <w:spacing w:line="240" w:lineRule="auto"/>
        <w:jc w:val="both"/>
      </w:pPr>
      <w:r>
        <w:t xml:space="preserve">Dla określonych </w:t>
      </w:r>
      <w:r w:rsidRPr="006D17CB">
        <w:t xml:space="preserve">konkursów </w:t>
      </w:r>
      <w:r>
        <w:t xml:space="preserve">w ramach RPO WD 2014-2020 istnieje </w:t>
      </w:r>
      <w:r w:rsidRPr="006D17CB">
        <w:t xml:space="preserve">możliwość rozliczania wybranych kategorii kosztów pośrednich za pomocą </w:t>
      </w:r>
      <w:r w:rsidRPr="006D17CB">
        <w:rPr>
          <w:b/>
        </w:rPr>
        <w:t>stawki ryczałtowej</w:t>
      </w:r>
      <w:r w:rsidRPr="006D17CB">
        <w:t xml:space="preserve"> (uwzględniając zapisy z art. 68 Rozporządzenia Parlamentu Europejskiego i Rady (UE) Nr 1303</w:t>
      </w:r>
      <w:r w:rsidRPr="00843D11">
        <w:t>/2013</w:t>
      </w:r>
      <w:r w:rsidR="000C763D" w:rsidRPr="00843D11">
        <w:t xml:space="preserve">, zgodnie z dokumentem IZ RPO WD pn. </w:t>
      </w:r>
      <w:r w:rsidR="000C763D" w:rsidRPr="00F67081">
        <w:rPr>
          <w:i/>
        </w:rPr>
        <w:t>„Uproszczone metody rozliczania wydatków</w:t>
      </w:r>
      <w:r w:rsidR="00941D72" w:rsidRPr="00843D11">
        <w:rPr>
          <w:i/>
        </w:rPr>
        <w:t xml:space="preserve"> dla EFRR w ramach RPO WD 2014-2020</w:t>
      </w:r>
      <w:r w:rsidR="000C763D" w:rsidRPr="00F67081">
        <w:rPr>
          <w:i/>
        </w:rPr>
        <w:t>”</w:t>
      </w:r>
      <w:r w:rsidRPr="00843D11">
        <w:t>).</w:t>
      </w:r>
      <w:r>
        <w:t xml:space="preserve"> </w:t>
      </w:r>
    </w:p>
    <w:p w:rsidR="00526548" w:rsidRDefault="00526548" w:rsidP="00526548">
      <w:pPr>
        <w:tabs>
          <w:tab w:val="left" w:pos="5330"/>
        </w:tabs>
        <w:spacing w:line="240" w:lineRule="auto"/>
        <w:jc w:val="both"/>
        <w:rPr>
          <w:b/>
        </w:rPr>
      </w:pPr>
      <w:r w:rsidRPr="00325767">
        <w:rPr>
          <w:b/>
        </w:rPr>
        <w:t xml:space="preserve">Dopuszczalność oraz warunki zastosowania uproszczonych metod rozliczania wydatków </w:t>
      </w:r>
      <w:r>
        <w:rPr>
          <w:b/>
        </w:rPr>
        <w:t>określa</w:t>
      </w:r>
      <w:r w:rsidRPr="00325767">
        <w:rPr>
          <w:b/>
        </w:rPr>
        <w:t xml:space="preserve"> </w:t>
      </w:r>
      <w:r>
        <w:rPr>
          <w:b/>
        </w:rPr>
        <w:t xml:space="preserve">każdorazowo </w:t>
      </w:r>
      <w:r w:rsidRPr="00325767">
        <w:rPr>
          <w:b/>
        </w:rPr>
        <w:t>regulamin konkursu</w:t>
      </w:r>
      <w:r>
        <w:rPr>
          <w:b/>
        </w:rPr>
        <w:t xml:space="preserve"> lub odpowiednio zasady ubiegania się o wsparcie w trybie pozakonkursowym</w:t>
      </w:r>
      <w:r w:rsidRPr="00AF3312">
        <w:rPr>
          <w:b/>
        </w:rPr>
        <w:t>.</w:t>
      </w:r>
    </w:p>
    <w:p w:rsidR="00526548" w:rsidRPr="003B200E" w:rsidRDefault="00526548" w:rsidP="00526548">
      <w:pPr>
        <w:tabs>
          <w:tab w:val="left" w:pos="5330"/>
        </w:tabs>
        <w:spacing w:line="240" w:lineRule="auto"/>
        <w:jc w:val="both"/>
        <w:rPr>
          <w:b/>
          <w:u w:val="single"/>
        </w:rPr>
      </w:pPr>
      <w:r w:rsidRPr="00AF3312">
        <w:rPr>
          <w:b/>
        </w:rPr>
        <w:t>Jeże</w:t>
      </w:r>
      <w:r w:rsidRPr="003B200E">
        <w:rPr>
          <w:b/>
        </w:rPr>
        <w:t>li w ramach naboru przewiduje się zastosowanie stawki ryczałtowej dla wybranych kategorii kosztów, to są one kwalifikowalne wyłącznie w ramach tej stawki. Oznacza to, że nie ma możliwości rozliczania tych kosztów zgodnie z zasadą faktycznego poniesienia wydatku – na podstawie przedstawianych dokumentów księgowych (wraz z odpowiednim dokumentem potwierdzającym dokonanie płatności (o ile dotyczy)). Regulamin konkursu</w:t>
      </w:r>
      <w:r>
        <w:rPr>
          <w:b/>
        </w:rPr>
        <w:t xml:space="preserve"> lub odpowiednio zasady ubiegania się o</w:t>
      </w:r>
      <w:r w:rsidR="005A2D3C">
        <w:rPr>
          <w:b/>
        </w:rPr>
        <w:t> </w:t>
      </w:r>
      <w:r>
        <w:rPr>
          <w:b/>
        </w:rPr>
        <w:t>wsparcie w trybie pozakonkursowym</w:t>
      </w:r>
      <w:r w:rsidRPr="003B200E">
        <w:rPr>
          <w:b/>
        </w:rPr>
        <w:t xml:space="preserve"> determinuj</w:t>
      </w:r>
      <w:r>
        <w:rPr>
          <w:b/>
        </w:rPr>
        <w:t>ą</w:t>
      </w:r>
      <w:r w:rsidRPr="003B200E">
        <w:rPr>
          <w:b/>
        </w:rPr>
        <w:t xml:space="preserve"> sposób rozliczenia określonych  wydatków i nie pozostawia</w:t>
      </w:r>
      <w:r>
        <w:rPr>
          <w:b/>
        </w:rPr>
        <w:t>ją</w:t>
      </w:r>
      <w:r w:rsidRPr="003B200E">
        <w:rPr>
          <w:b/>
        </w:rPr>
        <w:t xml:space="preserve"> możliwości wyboru Wnioskodawcy.</w:t>
      </w:r>
    </w:p>
    <w:p w:rsidR="00526548" w:rsidRPr="00526548" w:rsidRDefault="00526548" w:rsidP="00526548">
      <w:pPr>
        <w:tabs>
          <w:tab w:val="left" w:pos="5330"/>
        </w:tabs>
        <w:spacing w:line="240" w:lineRule="auto"/>
        <w:jc w:val="both"/>
      </w:pPr>
      <w:r w:rsidRPr="00526548">
        <w:t>W przypadku rozliczania wydatków za pomocą stawki ryczałtowej budżet projektu dzieli się na 3 grupy kosztów:</w:t>
      </w:r>
    </w:p>
    <w:p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9E483C">
        <w:rPr>
          <w:rFonts w:cs="Calibri"/>
        </w:rPr>
        <w:t>koszty rozliczane</w:t>
      </w:r>
      <w:r w:rsidRPr="007C5B38">
        <w:rPr>
          <w:rFonts w:cs="Calibri"/>
        </w:rPr>
        <w:t xml:space="preserve"> w ramach stawki ryczałtowej, </w:t>
      </w:r>
    </w:p>
    <w:p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(tj. w oparciu o rzeczywiste koszty wykazywane przez Beneficjenta we wniosku o płatność i potwierdzan</w:t>
      </w:r>
      <w:r w:rsidR="00D347F2">
        <w:rPr>
          <w:rFonts w:cs="Calibri"/>
        </w:rPr>
        <w:t>e</w:t>
      </w:r>
      <w:r w:rsidRPr="007C5B38">
        <w:rPr>
          <w:rFonts w:cs="Calibri"/>
        </w:rPr>
        <w:t xml:space="preserve"> dokumentami księgowymi)</w:t>
      </w:r>
      <w:r w:rsidR="00D347F2">
        <w:rPr>
          <w:rFonts w:cs="Calibri"/>
        </w:rPr>
        <w:t>,</w:t>
      </w:r>
      <w:r w:rsidRPr="007C5B38">
        <w:rPr>
          <w:rFonts w:cs="Calibri"/>
        </w:rPr>
        <w:t xml:space="preserve"> nie stanowiące podstawy wyliczenia stawki ryczałtowej, o ile zastosowanie stawki ryczałtowej wymaga określenia tego typu kosztów</w:t>
      </w:r>
      <w:r>
        <w:rPr>
          <w:rFonts w:cs="Calibri"/>
        </w:rPr>
        <w:t>,</w:t>
      </w:r>
    </w:p>
    <w:p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stanowiące podstawę wyliczenia stawki ryczałtowej</w:t>
      </w:r>
      <w:r>
        <w:rPr>
          <w:rFonts w:cs="Calibri"/>
        </w:rPr>
        <w:t>.</w:t>
      </w: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6329D5" w:rsidRDefault="00526548" w:rsidP="00526548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AF3312">
        <w:rPr>
          <w:b/>
        </w:rPr>
        <w:t>Ze względu na specyficzny charakter projektów, poniższy ogólny katalog kosztów w poszczególnych kategoriach może zostać doprecyzowany w regulaminie konkursu lub odpowiednio w zasad</w:t>
      </w:r>
      <w:r w:rsidR="007A77C8" w:rsidRPr="00AF3312">
        <w:rPr>
          <w:b/>
        </w:rPr>
        <w:t>ach</w:t>
      </w:r>
      <w:r w:rsidRPr="00AF3312">
        <w:rPr>
          <w:b/>
        </w:rPr>
        <w:t xml:space="preserve"> ubiegania się o wsparcie w trybie pozakonkursowym, dopuszczający</w:t>
      </w:r>
      <w:r w:rsidR="0069710C" w:rsidRPr="00AF3312">
        <w:rPr>
          <w:b/>
        </w:rPr>
        <w:t>ch</w:t>
      </w:r>
      <w:r w:rsidRPr="00AF3312">
        <w:rPr>
          <w:b/>
        </w:rPr>
        <w:t xml:space="preserve"> możliwość zastosowania uproszczonych metod rozliczania wydatków</w:t>
      </w:r>
      <w:r w:rsidRPr="006329D5">
        <w:rPr>
          <w:b/>
        </w:rPr>
        <w:t xml:space="preserve">. 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A. </w:t>
      </w:r>
      <w:r>
        <w:rPr>
          <w:rFonts w:cs="Calibri"/>
          <w:b/>
        </w:rPr>
        <w:t>K</w:t>
      </w:r>
      <w:r w:rsidRPr="007C5B38">
        <w:rPr>
          <w:rFonts w:cs="Calibri"/>
          <w:b/>
        </w:rPr>
        <w:t>oszty rozliczane w ramach stawki ryczałtowej: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Stawką ryczałtową są obejmowane koszty pośrednie, tj. </w:t>
      </w:r>
      <w:r w:rsidR="00BA7DC6" w:rsidRPr="00BA7DC6">
        <w:rPr>
          <w:rFonts w:cs="Calibri"/>
        </w:rPr>
        <w:t xml:space="preserve">koszty niezbędne do realizacji projektu, ale niedotyczące bezpośrednio głównego przedmiotu projektu, wskazane jako kwalifikowalne w regulaminie konkursu lub zasadach ubiegania się o wsparcie w trybie pozakonkursowym. Obejmują one w szczególności koszty administracyjne, w przypadku których trudno jest dokładnie określić kwotę, </w:t>
      </w:r>
      <w:r w:rsidR="00BA7DC6" w:rsidRPr="00BA7DC6">
        <w:rPr>
          <w:rFonts w:cs="Calibri"/>
        </w:rPr>
        <w:lastRenderedPageBreak/>
        <w:t xml:space="preserve">którą można przypisać konkretnej czynności (np. koszty ogólne funkcjonowania jednostki związane z realizacją danego projektu, wynajęcia lub amortyzacji budynków i aparatury, usług telekomunikacyjnych i pocztowych, mediów, ubezpieczenia, wyposażenia biurowego), a także koszty zarządzania projektem (w tym koszty kadry zarządzającej projektem, koszty nadzoru inwestorskiego, koszty nadzorów branżowych i innych usług w zakresie zarządzania projektem) oraz koszty promocji projektu. W zakresie zarządzania projektem stawką ryczałtową obejmowane są koszty pośrednie wynikające zarówno z angażowania personelu beneficjenta jak i wynikające z zakupu usług/towarów w drodze zamówień. 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Do katalogu kosztów rozliczanych w ramach stawki ryczałtowej </w:t>
      </w:r>
      <w:r>
        <w:rPr>
          <w:rFonts w:cs="Calibri"/>
        </w:rPr>
        <w:t xml:space="preserve">zalicza się </w:t>
      </w:r>
      <w:r w:rsidRPr="007C5B38">
        <w:rPr>
          <w:rFonts w:cs="Calibri"/>
        </w:rPr>
        <w:t>następujące rodzaje kosztów: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321E4D" w:rsidRDefault="00321E4D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</w:p>
    <w:p w:rsidR="00526548" w:rsidRPr="009B2F46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  <w:r w:rsidRPr="009B2F46">
        <w:rPr>
          <w:rFonts w:cs="Calibri"/>
          <w:b/>
          <w:u w:val="single"/>
        </w:rPr>
        <w:t>Grupa kosztów związanych z zarządzaniem projektem:</w:t>
      </w:r>
    </w:p>
    <w:p w:rsidR="00526548" w:rsidRPr="007C5B3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koordynatora/menadżera/kierownika projektu oraz inn</w:t>
      </w:r>
      <w:r>
        <w:rPr>
          <w:rFonts w:cs="Calibri"/>
        </w:rPr>
        <w:t>ych</w:t>
      </w:r>
      <w:r w:rsidRPr="007C5B38">
        <w:rPr>
          <w:rFonts w:cs="Calibri"/>
        </w:rPr>
        <w:t xml:space="preserve"> </w:t>
      </w:r>
      <w:r>
        <w:rPr>
          <w:rFonts w:cs="Calibri"/>
        </w:rPr>
        <w:t xml:space="preserve">osób </w:t>
      </w:r>
      <w:r w:rsidRPr="007C5B38">
        <w:rPr>
          <w:rFonts w:cs="Calibri"/>
        </w:rPr>
        <w:t>bezpośrednio zaangażowan</w:t>
      </w:r>
      <w:r>
        <w:rPr>
          <w:rFonts w:cs="Calibri"/>
        </w:rPr>
        <w:t>ych</w:t>
      </w:r>
      <w:r w:rsidRPr="007C5B38">
        <w:rPr>
          <w:rFonts w:cs="Calibri"/>
        </w:rPr>
        <w:t xml:space="preserve"> w zarządzanie projektem, monitorowanie i jego rozliczanie lub prowadzenie innych działań administracyjnych w projekcie, o ile </w:t>
      </w:r>
      <w:r w:rsidR="00C833FC">
        <w:rPr>
          <w:rFonts w:cs="Calibri"/>
        </w:rPr>
        <w:t>ich</w:t>
      </w:r>
      <w:r w:rsidRPr="007C5B38">
        <w:rPr>
          <w:rFonts w:cs="Calibri"/>
        </w:rPr>
        <w:t xml:space="preserve"> zatrudnienie jest niezbędne dla realizacji projektu, w tym w szczególności koszty wynagrodzenia tych osób, ich delegacji służbowych</w:t>
      </w:r>
      <w:r>
        <w:rPr>
          <w:rFonts w:cs="Calibri"/>
        </w:rPr>
        <w:t xml:space="preserve"> </w:t>
      </w:r>
      <w:r w:rsidR="0045119D">
        <w:rPr>
          <w:rFonts w:cs="Calibri"/>
        </w:rPr>
        <w:t xml:space="preserve">(z zastrzeżeniem poniższego pkt. 7) </w:t>
      </w:r>
      <w:r w:rsidRPr="007C5B38">
        <w:rPr>
          <w:rFonts w:cs="Calibri"/>
        </w:rPr>
        <w:t>oraz koszty związane z wdrażaniem polityki równych szans przez te osoby,</w:t>
      </w:r>
    </w:p>
    <w:p w:rsidR="0052654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zarządu w wysokości zależnej od zaangażowania czasowego w realizację projektu (koszty wynagrodzenia osób uprawnionych do reprezentowania jednostki, których zakresy czynności nie są przypisane wyłącznie do projektu, np. kierownik jednostki),</w:t>
      </w:r>
    </w:p>
    <w:p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innych usług polegających na zlecaniu zadań związanych z zarządzaniem projektem (np. inżynier kontraktu, koordynator projektu), </w:t>
      </w:r>
    </w:p>
    <w:p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usług związanych z prowadzeniem nadzorów w projekcie (innych niż nadzór autorski), w tym nadzór inwestorski oraz nadzory branżowe</w:t>
      </w:r>
      <w:r>
        <w:rPr>
          <w:rFonts w:cs="Calibri"/>
        </w:rPr>
        <w:t>,</w:t>
      </w:r>
    </w:p>
    <w:p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personelu obsługowego (obsługa kadrowa, finansowa, administracyjna, sekretariat, kancelaria, obsługa prawna) zatrudnionego na potrzeby funkcjonowania jednostki, a</w:t>
      </w:r>
      <w:r w:rsidR="00E36E16" w:rsidRPr="001D03FF">
        <w:rPr>
          <w:rFonts w:cs="Calibri"/>
        </w:rPr>
        <w:t> </w:t>
      </w:r>
      <w:r w:rsidRPr="001D03FF">
        <w:rPr>
          <w:rFonts w:cs="Calibri"/>
        </w:rPr>
        <w:t>wykonującego zadania związane z obsługą projektu,</w:t>
      </w:r>
    </w:p>
    <w:p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obsługi technicznej/personelu technicznego (np. informatyka) nie </w:t>
      </w:r>
      <w:r w:rsidR="00E90646" w:rsidRPr="001D03FF">
        <w:rPr>
          <w:rFonts w:cs="Calibri"/>
        </w:rPr>
        <w:t>stanowiące wydatków/kosztów osobowych związanych z zaangażowaniem personelu (kadry merytorycznej)</w:t>
      </w:r>
      <w:r w:rsidRPr="001D03FF">
        <w:rPr>
          <w:rFonts w:cs="Calibri"/>
        </w:rPr>
        <w:t>,</w:t>
      </w:r>
    </w:p>
    <w:p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delegacji służbowych z wyłączeniem delegacji związanych z udziałem w targach i misjach gospodarczych</w:t>
      </w:r>
      <w:r w:rsidRPr="00F66E26">
        <w:rPr>
          <w:rFonts w:cs="Calibri"/>
        </w:rPr>
        <w:t>.</w:t>
      </w:r>
    </w:p>
    <w:p w:rsidR="00526548" w:rsidRPr="001D03FF" w:rsidRDefault="00526548" w:rsidP="001D03F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:rsidR="00526548" w:rsidRPr="0026018E" w:rsidRDefault="00526548" w:rsidP="003A6B11">
      <w:pPr>
        <w:autoSpaceDE w:val="0"/>
        <w:autoSpaceDN w:val="0"/>
        <w:adjustRightInd w:val="0"/>
        <w:spacing w:after="0"/>
        <w:ind w:left="709" w:hanging="709"/>
        <w:rPr>
          <w:rFonts w:cs="Calibri"/>
          <w:b/>
          <w:u w:val="single"/>
        </w:rPr>
      </w:pPr>
      <w:r w:rsidRPr="0026018E">
        <w:rPr>
          <w:rFonts w:cs="Calibri"/>
          <w:b/>
          <w:u w:val="single"/>
        </w:rPr>
        <w:t xml:space="preserve">Grupa </w:t>
      </w:r>
      <w:r>
        <w:rPr>
          <w:rFonts w:cs="Calibri"/>
          <w:b/>
          <w:u w:val="single"/>
        </w:rPr>
        <w:t xml:space="preserve">pozostałych </w:t>
      </w:r>
      <w:r w:rsidRPr="0026018E">
        <w:rPr>
          <w:rFonts w:cs="Calibri"/>
          <w:b/>
          <w:u w:val="single"/>
        </w:rPr>
        <w:t>kosztów administracyjnych</w:t>
      </w:r>
      <w:r>
        <w:rPr>
          <w:rFonts w:cs="Calibri"/>
          <w:b/>
          <w:u w:val="single"/>
        </w:rPr>
        <w:t>: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utrzymania powierzchni biurowych (czynsz, najem, opłaty administracyjne) związanych z</w:t>
      </w:r>
      <w:r w:rsidR="00E36E16">
        <w:rPr>
          <w:rFonts w:cs="Calibri"/>
        </w:rPr>
        <w:t> </w:t>
      </w:r>
      <w:r w:rsidRPr="007C5B38">
        <w:rPr>
          <w:rFonts w:cs="Calibri"/>
        </w:rPr>
        <w:t>obsługą administracyjną projektu,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wydatki związane z otworzeniem lub prowadzeniem wyodrębnionego na rzecz projektu subkonta na rachunku bankowym lub odrębnego rachunku bankowego,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amortyzacja, najem lub zakup aktywów (środków trwałych i wartości niematerialnych  i prawnych) używanych na potrzeby </w:t>
      </w:r>
      <w:r w:rsidR="009074A5">
        <w:rPr>
          <w:rFonts w:cs="Calibri"/>
        </w:rPr>
        <w:t xml:space="preserve">zarządzania projektem </w:t>
      </w:r>
      <w:r w:rsidRPr="007C5B38">
        <w:rPr>
          <w:rFonts w:cs="Calibri"/>
        </w:rPr>
        <w:t xml:space="preserve">, o którym mowa w pkt </w:t>
      </w:r>
      <w:r w:rsidR="009074A5">
        <w:rPr>
          <w:rFonts w:cs="Calibri"/>
        </w:rPr>
        <w:t>1-7</w:t>
      </w:r>
      <w:r w:rsidRPr="007C5B38">
        <w:rPr>
          <w:rFonts w:cs="Calibri"/>
        </w:rPr>
        <w:t xml:space="preserve"> oraz inne nie przeznaczone w 100% do realizacji działań bezpośrednich,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lastRenderedPageBreak/>
        <w:t>opłaty za energię elektryczną, cieplną, gazową i wodę, opłaty przesyłowe, opłaty za odprowadzanie ścieków w zakresie związanym z obsługą administracyjną projektu,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pocztowych, telefonicznych, internetowych, kurierskich związanych z obsługą administracyjną projektu,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powielania dokumentów związanych z obsługą administracyjną projektu,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materiałów biurowych i artykułów piśmienniczych związanych z obsługą administracyjną projektu,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ubezpieczeń majątkowych</w:t>
      </w:r>
      <w:r>
        <w:rPr>
          <w:rFonts w:cs="Calibri"/>
        </w:rPr>
        <w:t xml:space="preserve"> związanych z projektem </w:t>
      </w:r>
      <w:r w:rsidRPr="007C5B38">
        <w:rPr>
          <w:rFonts w:cs="Calibri"/>
        </w:rPr>
        <w:t xml:space="preserve"> i innych, z wyłączeniem ubezpieczeń osób i eksponatów w związku z udziałem w targach i misjach gospodarczych,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ochrony</w:t>
      </w:r>
      <w:r>
        <w:rPr>
          <w:rFonts w:cs="Calibri"/>
        </w:rPr>
        <w:t xml:space="preserve"> mienia związanego z projektem</w:t>
      </w:r>
      <w:r w:rsidRPr="007C5B38">
        <w:rPr>
          <w:rFonts w:cs="Calibri"/>
        </w:rPr>
        <w:t>, z wyłączeniem ubezpieczeń osób i eksponatów w</w:t>
      </w:r>
      <w:r w:rsidR="00E36E16">
        <w:rPr>
          <w:rFonts w:cs="Calibri"/>
        </w:rPr>
        <w:t> </w:t>
      </w:r>
      <w:r w:rsidRPr="007C5B38">
        <w:rPr>
          <w:rFonts w:cs="Calibri"/>
        </w:rPr>
        <w:t>związku z udziałem w targach i misjach gospodarczych,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sprzątania pomieszczeń związanych z obsługą administracyjną projektu, w tym środki do utrzymania ich czystości oraz dezynsekcję, dezynfekcję, deratyzację tych pomieszczeń,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związane z konserwacją i naprawą urządzeń biurowych/koszt zakupu urządzeń i sprzętu biurowego nie będących środkiem trwałym, na potrzeby zarządzania projektem,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utylizacji odpadów na potrzeby zarządzania projektem,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hosting na potrzeby funkcjonowania projektu,</w:t>
      </w:r>
    </w:p>
    <w:p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opłat skarbowych i notarialnych związanych z realizacją projektu,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tłumaczenia dokumentów niezbędnych do przedłożenia instytucji zarządzającej na potrzeby rozliczenia i kontroli prawidłowej realizacji projektu</w:t>
      </w:r>
      <w:r>
        <w:rPr>
          <w:rFonts w:cs="Calibri"/>
        </w:rPr>
        <w:t>,</w:t>
      </w:r>
    </w:p>
    <w:p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</w:t>
      </w:r>
      <w:r w:rsidR="009074A5">
        <w:rPr>
          <w:rFonts w:cs="Calibri"/>
        </w:rPr>
        <w:t xml:space="preserve"> ustanowienia</w:t>
      </w:r>
      <w:r w:rsidRPr="007C5B38">
        <w:rPr>
          <w:rFonts w:cs="Calibri"/>
        </w:rPr>
        <w:t xml:space="preserve"> zabezpieczenia prawidłowej realizacji umowy</w:t>
      </w:r>
      <w:r w:rsidR="00E90646">
        <w:rPr>
          <w:rFonts w:cs="Calibri"/>
        </w:rPr>
        <w:t xml:space="preserve"> o dofinansowanie projektu</w:t>
      </w:r>
      <w:r>
        <w:rPr>
          <w:rFonts w:cs="Calibri"/>
        </w:rPr>
        <w:t>.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:rsidR="00526548" w:rsidRPr="00167C31" w:rsidRDefault="00526548" w:rsidP="009074A5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b/>
        </w:rPr>
      </w:pPr>
      <w:r w:rsidRPr="00167C31">
        <w:rPr>
          <w:rFonts w:cs="Calibri"/>
          <w:b/>
        </w:rPr>
        <w:t>Koszty informacji i promocji:</w:t>
      </w:r>
    </w:p>
    <w:p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działania  informacyjno-promocyjne  projektu  (np.  zakup  materiałów  promocyjnych  i informacyjnych, zakup ogłoszeń prasowych, </w:t>
      </w:r>
      <w:r w:rsidR="00E90646">
        <w:rPr>
          <w:rFonts w:cs="Calibri"/>
        </w:rPr>
        <w:t>plakat/tablice promocyjne/</w:t>
      </w:r>
      <w:r w:rsidRPr="007C5B38">
        <w:rPr>
          <w:rFonts w:cs="Calibri"/>
        </w:rPr>
        <w:t>tablice informacyjne), wynikające z obowiązków określonych w umowie o dofinansowanie projektu</w:t>
      </w:r>
      <w:r w:rsidR="00C833FC">
        <w:rPr>
          <w:rFonts w:cs="Calibri"/>
        </w:rPr>
        <w:t xml:space="preserve">. </w:t>
      </w:r>
    </w:p>
    <w:p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:rsidR="00843D11" w:rsidRPr="009074A5" w:rsidRDefault="00843D11" w:rsidP="009074A5">
      <w:pPr>
        <w:jc w:val="both"/>
        <w:rPr>
          <w:rFonts w:cs="Calibri"/>
          <w:b/>
        </w:rPr>
      </w:pPr>
      <w:r w:rsidRPr="009074A5">
        <w:rPr>
          <w:rFonts w:cs="Calibri"/>
          <w:b/>
        </w:rPr>
        <w:t>Powyższe koszty są rozliczane wg procentowej stawki, która jest wyliczana od pozostałych wydatków kwalifikowalnych w projekcie, z zastrzeżeniem punktu B opisanego poniżej.</w:t>
      </w:r>
    </w:p>
    <w:p w:rsidR="00843D11" w:rsidRPr="00BA7DC6" w:rsidRDefault="00843D11" w:rsidP="009074A5">
      <w:pPr>
        <w:jc w:val="both"/>
        <w:rPr>
          <w:rFonts w:cs="Calibri"/>
        </w:rPr>
      </w:pPr>
      <w:r w:rsidRPr="000F7BBA">
        <w:rPr>
          <w:rFonts w:cs="Calibri"/>
        </w:rPr>
        <w:t>W przypadku projektów objętych pomocą publiczną wydatki z powyższego katalogu – zgodnie z właściwymi zasadami udzielania tej pomocy – mogą stanowić wydatek niekwalifikowalny. Wówczas nie mogą być one obejmowane stawką ryczałtową w oparciu o powyższe zasady dotyczące pomocy publicznej. Mogą być jednak objęte dofinansowaniem na zasadach pom</w:t>
      </w:r>
      <w:r w:rsidRPr="00F67081">
        <w:rPr>
          <w:rFonts w:cs="Calibri"/>
        </w:rPr>
        <w:t xml:space="preserve">ocy </w:t>
      </w:r>
      <w:r w:rsidRPr="00F67081">
        <w:rPr>
          <w:rFonts w:cs="Calibri"/>
          <w:i/>
        </w:rPr>
        <w:t>de minimis</w:t>
      </w:r>
      <w:r w:rsidRPr="00BA7DC6">
        <w:rPr>
          <w:rFonts w:cs="Calibri"/>
        </w:rPr>
        <w:t>.</w:t>
      </w:r>
    </w:p>
    <w:p w:rsidR="00843D11" w:rsidRPr="007C5B38" w:rsidRDefault="00843D11" w:rsidP="009074A5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B.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nie stanowiące podstawy wyliczenia stawki ryczałtowej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 ramach tej kategorii będą wskazywane koszty bezpośrednie, które są zlecone podmiotom trzecim w drodze podwykonawstwa oraz koszty ponoszone w ramach mechanizmu </w:t>
      </w:r>
      <w:r w:rsidRPr="00025329">
        <w:rPr>
          <w:rFonts w:cs="Calibri"/>
          <w:i/>
        </w:rPr>
        <w:t>cross-financing</w:t>
      </w:r>
      <w:r w:rsidRPr="007C5B38">
        <w:rPr>
          <w:rFonts w:cs="Calibri"/>
        </w:rPr>
        <w:t>.</w:t>
      </w: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lang w:eastAsia="en-US"/>
        </w:rPr>
      </w:pPr>
      <w:r w:rsidRPr="009074A5">
        <w:rPr>
          <w:rFonts w:ascii="Calibri" w:eastAsia="Calibri" w:hAnsi="Calibri" w:cs="Calibri"/>
          <w:lang w:eastAsia="en-US"/>
        </w:rPr>
        <w:t>Podwykonawstwo</w:t>
      </w:r>
      <w:r w:rsidRPr="00CB18AB">
        <w:rPr>
          <w:rFonts w:ascii="Calibri" w:eastAsia="Calibri" w:hAnsi="Calibri" w:cs="Calibri"/>
          <w:lang w:eastAsia="en-US"/>
        </w:rPr>
        <w:t xml:space="preserve"> – </w:t>
      </w:r>
      <w:r>
        <w:rPr>
          <w:rFonts w:ascii="Calibri" w:eastAsia="Calibri" w:hAnsi="Calibri" w:cs="Calibri"/>
          <w:lang w:eastAsia="en-US"/>
        </w:rPr>
        <w:t>j</w:t>
      </w:r>
      <w:r w:rsidRPr="00CB18AB">
        <w:rPr>
          <w:rFonts w:ascii="Calibri" w:eastAsia="Calibri" w:hAnsi="Calibri" w:cs="Calibri"/>
          <w:lang w:eastAsia="en-US"/>
        </w:rPr>
        <w:t xml:space="preserve">est to szczególny rodzaj zlecenia zadań w projekcie i w tym rozumieniu nie jest to pojęcie tożsame z przepisami prawa zamówień publicznych. Podwykonawstwo należy rozumieć jako zadania zlecone w projekcie podwykonawcy, tj. stronie trzeciej, która na warunkach rynkowych zawarła umowę z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eneficjentem, w celu wykonania części prac związanych z realizacją projektu. </w:t>
      </w:r>
      <w:r w:rsidRPr="00CB18AB">
        <w:rPr>
          <w:rFonts w:ascii="Calibri" w:eastAsia="Calibri" w:hAnsi="Calibri" w:cs="Calibri"/>
          <w:lang w:eastAsia="en-US"/>
        </w:rPr>
        <w:lastRenderedPageBreak/>
        <w:t xml:space="preserve">Podwykonawca nie podlega bezpośredniemu nadzorowi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eneficjenta i nie jest mu hierarchicznie podporządkowany (inaczej, niż to się dzieje w przypadku pracownika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 lub podmiotu zależnego).</w:t>
      </w:r>
      <w:r>
        <w:rPr>
          <w:rFonts w:ascii="Calibri" w:eastAsia="Calibri" w:hAnsi="Calibri" w:cs="Calibri"/>
          <w:lang w:eastAsia="en-US"/>
        </w:rPr>
        <w:t xml:space="preserve"> </w:t>
      </w:r>
      <w:r w:rsidRPr="00CB18AB">
        <w:rPr>
          <w:rFonts w:ascii="Calibri" w:eastAsia="Calibri" w:hAnsi="Calibri" w:cs="Calibri"/>
          <w:lang w:eastAsia="en-US"/>
        </w:rPr>
        <w:t xml:space="preserve">Zatem podwykonawstwa nie należy utożsamiać z każdym wyborem wykonawcy, a jedynie z sytuacją, w której zlecenie zadania nie generuje kosztów pośrednich u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eneficjenta. W przypadku zlecania zadań w projekcie wykonawcom Beneficjent powinien zbadać, czy sposób w jaki zlecił te zadania będzie prowadził do powstawania kosztów pośrednich po jego stronie i tym samym zadania te powinny być włączone do podstawy wyliczenia stawki ryczałtowej, czy też nie będą prowadziły do powstawania kosztów pośrednich po jego stronie, i tym samym będą stanowiły podwykonawstwo i będą wyłączane z po</w:t>
      </w:r>
      <w:r w:rsidR="00A476E8">
        <w:rPr>
          <w:rFonts w:ascii="Calibri" w:eastAsia="Calibri" w:hAnsi="Calibri" w:cs="Calibri"/>
          <w:lang w:eastAsia="en-US"/>
        </w:rPr>
        <w:t>d</w:t>
      </w:r>
      <w:r w:rsidRPr="00CB18AB">
        <w:rPr>
          <w:rFonts w:ascii="Calibri" w:eastAsia="Calibri" w:hAnsi="Calibri" w:cs="Calibri"/>
          <w:lang w:eastAsia="en-US"/>
        </w:rPr>
        <w:t xml:space="preserve">stawy wyliczenia kosztów pośrednich. </w:t>
      </w:r>
    </w:p>
    <w:p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highlight w:val="green"/>
          <w:lang w:eastAsia="en-US"/>
        </w:rPr>
      </w:pPr>
      <w:r w:rsidRPr="00CB18AB">
        <w:rPr>
          <w:rFonts w:ascii="Calibri" w:eastAsia="Calibri" w:hAnsi="Calibri" w:cs="Calibri"/>
          <w:lang w:eastAsia="en-US"/>
        </w:rPr>
        <w:t xml:space="preserve">Podwykonawstwem nie są usługi wskazane w katalogu kosztów pośrednich, podlegających </w:t>
      </w:r>
      <w:r w:rsidRPr="00CB18AB">
        <w:rPr>
          <w:rFonts w:ascii="Calibri" w:eastAsia="Calibri" w:hAnsi="Calibri" w:cs="Calibri"/>
          <w:lang w:eastAsia="en-US"/>
        </w:rPr>
        <w:br/>
        <w:t>rozliczeniu w oparciu o stawkę ryczałtową.</w:t>
      </w:r>
    </w:p>
    <w:p w:rsidR="00CB18AB" w:rsidRPr="007C5B38" w:rsidRDefault="00CB18AB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t xml:space="preserve">Wyodrębnienie tej grupy kosztów jest fakultatywne i zależne od założeń przyjętych dla szczegółowej metodologii stawki ryczałtowej opracowanej dla danego naboru. 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Wydatków wykazywanych w ramach tej grupy kosztów nie wlicza się do podstawy wyliczenia stawki ryczałtowej. Rozliczane są na podstawie faktycznie poniesionych wydatków i wymagają przedstawienia właściwych dokumentów księgowych we wniosku o płatność.</w:t>
      </w:r>
    </w:p>
    <w:p w:rsidR="007800B1" w:rsidRPr="007C5B38" w:rsidRDefault="007800B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C.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stanowiące podstawę wyliczenia stawki ryczałtowej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Ta kategoria obejmuje wszystkie wydatki kwalifikowalne projektu nieujęte w powyższych punktach A i</w:t>
      </w:r>
      <w:r w:rsidR="00E36E16">
        <w:rPr>
          <w:rFonts w:cs="Calibri"/>
        </w:rPr>
        <w:t> </w:t>
      </w:r>
      <w:r w:rsidRPr="007C5B38">
        <w:rPr>
          <w:rFonts w:cs="Calibri"/>
        </w:rPr>
        <w:t>B. W szczególności są to koszty bezpośrednie, niezbędne dla osiągnięcia celu głównego projektu (np. roboty budowlane, zakup środków trwałych, et</w:t>
      </w:r>
      <w:r w:rsidR="00025329">
        <w:rPr>
          <w:rFonts w:cs="Calibri"/>
        </w:rPr>
        <w:t>c.</w:t>
      </w:r>
      <w:r w:rsidRPr="007C5B38">
        <w:rPr>
          <w:rFonts w:cs="Calibri"/>
        </w:rPr>
        <w:t>). Rozliczane są na podstawie faktycznie poniesionych wydatków i wymagają przedstawienia właściwych dokumentów księgowych we wniosku o płatność</w:t>
      </w:r>
      <w:r>
        <w:rPr>
          <w:rFonts w:cs="Calibri"/>
        </w:rPr>
        <w:t xml:space="preserve"> (zgodnie z zasadami wynikającymi z umowy</w:t>
      </w:r>
      <w:r w:rsidR="00DE269E">
        <w:rPr>
          <w:rFonts w:cs="Calibri"/>
        </w:rPr>
        <w:t>/porozumienia/decyzji o dofinansowaniu</w:t>
      </w:r>
      <w:r>
        <w:rPr>
          <w:rFonts w:cs="Calibri"/>
        </w:rPr>
        <w:t>)</w:t>
      </w:r>
      <w:r w:rsidRPr="007C5B38">
        <w:rPr>
          <w:rFonts w:cs="Calibri"/>
        </w:rPr>
        <w:t>.</w:t>
      </w:r>
    </w:p>
    <w:p w:rsidR="00025329" w:rsidRDefault="00025329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2E341E" w:rsidRPr="002D3C6C" w:rsidRDefault="002E341E" w:rsidP="002E341E">
      <w:pPr>
        <w:pStyle w:val="Tekstprzypisukocowego"/>
        <w:jc w:val="both"/>
        <w:rPr>
          <w:sz w:val="22"/>
          <w:szCs w:val="22"/>
        </w:rPr>
      </w:pPr>
      <w:r w:rsidRPr="002D3C6C">
        <w:rPr>
          <w:b/>
          <w:sz w:val="22"/>
          <w:szCs w:val="22"/>
        </w:rPr>
        <w:t>W przypadku rozliczania kosztów pośrednich z zastosowaniem uproszczonych metod obowiązuje zakaz podwójnego finansowania wydatków – rozliczenie tego samego wydatku w kosztach pośrednich oraz kosztach bezpośrednich projektu jest niedozwolone.</w:t>
      </w:r>
    </w:p>
    <w:p w:rsidR="002E341E" w:rsidRDefault="002E341E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025329" w:rsidRPr="00025329" w:rsidRDefault="00025329" w:rsidP="00210E35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025329">
        <w:rPr>
          <w:rFonts w:cs="Calibri"/>
          <w:b/>
        </w:rPr>
        <w:t>4.1. WYLICZENIE KOSZTÓW ROZLICZANYCH W RAMACH STAWKI RYCZAŁTOWEJ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Wysokość </w:t>
      </w:r>
      <w:r w:rsidR="00B9633E">
        <w:rPr>
          <w:rFonts w:cs="Calibri"/>
        </w:rPr>
        <w:t xml:space="preserve">kwalifikowalnych </w:t>
      </w:r>
      <w:r w:rsidRPr="007C5B38">
        <w:rPr>
          <w:rFonts w:cs="Calibri"/>
        </w:rPr>
        <w:t xml:space="preserve">kosztów </w:t>
      </w:r>
      <w:r>
        <w:rPr>
          <w:rFonts w:cs="Calibri"/>
        </w:rPr>
        <w:t xml:space="preserve">pośrednich </w:t>
      </w:r>
      <w:r w:rsidRPr="007C5B38">
        <w:rPr>
          <w:rFonts w:cs="Calibri"/>
        </w:rPr>
        <w:t xml:space="preserve">rozliczanych w ramach stawki ryczałtowej </w:t>
      </w:r>
      <w:r>
        <w:rPr>
          <w:rFonts w:cs="Calibri"/>
        </w:rPr>
        <w:t>we wniosku o</w:t>
      </w:r>
      <w:r w:rsidR="00025329">
        <w:rPr>
          <w:rFonts w:cs="Calibri"/>
        </w:rPr>
        <w:t> </w:t>
      </w:r>
      <w:r>
        <w:rPr>
          <w:rFonts w:cs="Calibri"/>
        </w:rPr>
        <w:t xml:space="preserve">dofinansowanie określa się </w:t>
      </w:r>
      <w:r w:rsidRPr="007C5B38">
        <w:rPr>
          <w:rFonts w:cs="Calibri"/>
        </w:rPr>
        <w:t>wg następującego wzoru: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= </w:t>
      </w:r>
      <w:r>
        <w:rPr>
          <w:rFonts w:cs="Calibri"/>
        </w:rPr>
        <w:t xml:space="preserve">% </w:t>
      </w:r>
      <w:r w:rsidRPr="007C5B38">
        <w:rPr>
          <w:rFonts w:cs="Calibri"/>
        </w:rPr>
        <w:t>stawka x C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% </w:t>
      </w:r>
      <w:r w:rsidRPr="007C5B38">
        <w:rPr>
          <w:rFonts w:cs="Calibri"/>
        </w:rPr>
        <w:t>stawka –</w:t>
      </w:r>
      <w:r w:rsidR="009350A5">
        <w:rPr>
          <w:rFonts w:cs="Calibri"/>
        </w:rPr>
        <w:t xml:space="preserve"> </w:t>
      </w:r>
      <w:r w:rsidRPr="007C5B38">
        <w:rPr>
          <w:rFonts w:cs="Calibri"/>
        </w:rPr>
        <w:t>wysokość stawki ryczałtowej wyrażon</w:t>
      </w:r>
      <w:r>
        <w:rPr>
          <w:rFonts w:cs="Calibri"/>
        </w:rPr>
        <w:t>a</w:t>
      </w:r>
      <w:r w:rsidRPr="007C5B38">
        <w:rPr>
          <w:rFonts w:cs="Calibri"/>
        </w:rPr>
        <w:t xml:space="preserve"> w procentach</w:t>
      </w:r>
      <w:r>
        <w:rPr>
          <w:rFonts w:cs="Calibri"/>
        </w:rPr>
        <w:t>, określona w naborze</w:t>
      </w: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C – </w:t>
      </w:r>
      <w:r>
        <w:rPr>
          <w:rFonts w:cs="Calibri"/>
        </w:rPr>
        <w:t>wydatki kwalifikowalne</w:t>
      </w:r>
      <w:r w:rsidRPr="007C5B38">
        <w:rPr>
          <w:rFonts w:cs="Calibri"/>
        </w:rPr>
        <w:t xml:space="preserve"> rozliczane metodą bezpośrednią</w:t>
      </w:r>
      <w:r>
        <w:rPr>
          <w:rFonts w:cs="Calibri"/>
        </w:rPr>
        <w:t>,</w:t>
      </w:r>
      <w:r w:rsidRPr="007C5B38">
        <w:rPr>
          <w:rFonts w:cs="Calibri"/>
        </w:rPr>
        <w:t xml:space="preserve"> stanowiące podstawę wyliczenia stawki ryczałtowej</w:t>
      </w: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lastRenderedPageBreak/>
        <w:t>Wynik należy zaokrąglić zgodnie z regułą matematyczną („5” na trzecim miejscu po przecinku zaokrąglana jest w górę).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Jednocześnie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projektu będzie miała 3 składowe:</w:t>
      </w:r>
    </w:p>
    <w:p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K = A +B + C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K –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w ramach projektu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B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nie stanowiące podstawy wyliczenia stawki ryczałtowej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C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stanowiące podstawę wyliczenia stawki ryczałtowej</w:t>
      </w:r>
      <w:r>
        <w:rPr>
          <w:rFonts w:cs="Calibri"/>
        </w:rPr>
        <w:t xml:space="preserve"> 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D11" w:rsidTr="00843D11">
        <w:tc>
          <w:tcPr>
            <w:tcW w:w="9062" w:type="dxa"/>
          </w:tcPr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Przykład:</w:t>
            </w: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obejmuje następujące kategorie kosztów:</w:t>
            </w:r>
          </w:p>
          <w:p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prace budowlane o wartości 800 tys. PLN</w:t>
            </w:r>
          </w:p>
          <w:p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kwalifikowalny zakup środków trwałych o wartości 200 tys. PLN</w:t>
            </w:r>
          </w:p>
          <w:p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koszty podwykonawstwa o wartości 50 tys. PLN</w:t>
            </w:r>
          </w:p>
          <w:p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stawka ryczałtowa w wysokości 10% jaką należy zastosować do wyliczenia wysokości kosztów pośrednich w projekcie (zgodnie z Regulaminem Konkursu)</w:t>
            </w: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Koszty pośrednie będą wyliczone wg następującego wzoru:</w:t>
            </w: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A= 10% x (800 000 PLN + 200 000 PLN) = 100 000 PLN</w:t>
            </w: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Budżet projektu będzie się prezentował następująco:</w:t>
            </w:r>
          </w:p>
          <w:p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4433"/>
              <w:gridCol w:w="4403"/>
            </w:tblGrid>
            <w:tr w:rsidR="00843D11" w:rsidTr="00F67081"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Prace budowlane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800 000,00 PLN</w:t>
                  </w:r>
                </w:p>
              </w:tc>
            </w:tr>
            <w:tr w:rsidR="00843D11" w:rsidTr="00F67081"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Środki trwałe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200 000,00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:rsidTr="00F67081"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Zlecone usługi podwykonawstwa 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:rsidTr="00F67081"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Koszty pośrednie (objęte stawką ryczałtową)</w:t>
                  </w:r>
                </w:p>
              </w:tc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100 000,00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:rsidTr="00F67081"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Razem</w:t>
                  </w:r>
                  <w:r w:rsidR="00B9633E">
                    <w:rPr>
                      <w:rFonts w:ascii="Calibri" w:hAnsi="Calibri" w:cs="Calibri"/>
                    </w:rPr>
                    <w:t xml:space="preserve"> wydatki kwalifikowalne projektu</w:t>
                  </w:r>
                </w:p>
              </w:tc>
              <w:tc>
                <w:tcPr>
                  <w:tcW w:w="4606" w:type="dxa"/>
                </w:tcPr>
                <w:p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1 150 000,00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</w:tbl>
          <w:p w:rsidR="00843D11" w:rsidRPr="00747ED9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Uwaga: dla uproszczenia wyliczeń pominięto koszty niekwalifikowalne, które nie są brane pod uwagę przy wyliczaniu  kosztów pośrednich.</w:t>
            </w:r>
          </w:p>
          <w:p w:rsidR="00843D11" w:rsidRDefault="00843D11" w:rsidP="00526548">
            <w:pPr>
              <w:autoSpaceDE w:val="0"/>
              <w:autoSpaceDN w:val="0"/>
              <w:adjustRightInd w:val="0"/>
              <w:jc w:val="both"/>
              <w:rPr>
                <w:rStyle w:val="Odwoaniedokomentarza"/>
              </w:rPr>
            </w:pPr>
          </w:p>
        </w:tc>
      </w:tr>
    </w:tbl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Ustalenie kwoty dofinansowania dla projektu i dla kategorii kosztów pośrednich odbywa się w sposób analogiczny, jak w przypadku projektów, w których wszystkie wydatki kwalifikowalne są rozliczane w</w:t>
      </w:r>
      <w:r w:rsidR="00E36E16">
        <w:rPr>
          <w:rFonts w:cs="Calibri"/>
        </w:rPr>
        <w:t> </w:t>
      </w:r>
      <w:r>
        <w:rPr>
          <w:rFonts w:cs="Calibri"/>
        </w:rPr>
        <w:t>oparciu o wydatki rzeczywiście poniesione i udokumentowane we wnioskach o płatność.</w:t>
      </w:r>
    </w:p>
    <w:p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Na etapie oceny wniosku o dofinansowanie sprawdzeniu przez IZ RPO WD/IP podlega prawidłowość ustalenia przez Wnioskodawcę wysokości kosztów pośrednich (tj. czy prawidłowo przyjęto % stawkę ryczałtową, wysokość kosztów bezpośrednich stanowiących podstawę wyliczenia kosztów pośrednich).</w:t>
      </w:r>
      <w:r w:rsidR="00025329">
        <w:rPr>
          <w:rFonts w:cs="Calibri"/>
        </w:rPr>
        <w:t xml:space="preserve"> </w:t>
      </w:r>
      <w:r>
        <w:rPr>
          <w:rFonts w:cs="Calibri"/>
        </w:rPr>
        <w:t>Jeżeli na etapie podpisywania umowy</w:t>
      </w:r>
      <w:r w:rsidR="009350A5">
        <w:rPr>
          <w:rFonts w:cs="Calibri"/>
        </w:rPr>
        <w:t xml:space="preserve">/porozumienia/podjęcia decyzji </w:t>
      </w:r>
      <w:r>
        <w:rPr>
          <w:rFonts w:cs="Calibri"/>
        </w:rPr>
        <w:t>o dofinansowanie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projektu/realizacji projektu nastąpi zmiana wysokości bezpośrednich wydatków kwalifikowalnych projektu będących podstawą do wyliczenia wysokości kosztów pośrednich, IZ RPO WD/IP RPO WD dokonuje w sposób analogiczny przeliczenia wysokości kosztów pośrednich (% stawki ryczałtowej pozostaje bez zmian). </w:t>
      </w:r>
    </w:p>
    <w:p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7A0112" w:rsidRDefault="00526548" w:rsidP="007A0112">
      <w:pPr>
        <w:spacing w:before="120" w:after="120"/>
        <w:jc w:val="both"/>
      </w:pPr>
      <w:r>
        <w:rPr>
          <w:rFonts w:cs="Calibri"/>
        </w:rPr>
        <w:t>Koszty pośrednie</w:t>
      </w:r>
      <w:r w:rsidRPr="00D6194C">
        <w:rPr>
          <w:rFonts w:cs="Calibri"/>
        </w:rPr>
        <w:t xml:space="preserve"> rozliczane uproszczoną metodą są traktowane jako wydatki poniesione. Nie ma obowiązku gromadzenia ani opisywania dokumentów księgowych w ramach projektu na pot</w:t>
      </w:r>
      <w:r>
        <w:rPr>
          <w:rFonts w:cs="Calibri"/>
        </w:rPr>
        <w:t>wierdzenie ich poniesienia</w:t>
      </w:r>
      <w:r w:rsidRPr="00D6194C">
        <w:rPr>
          <w:rFonts w:cs="Calibri"/>
        </w:rPr>
        <w:t>.</w:t>
      </w:r>
      <w:r>
        <w:rPr>
          <w:rFonts w:cs="Calibri"/>
        </w:rPr>
        <w:t xml:space="preserve"> W związku z tym na etapie weryfikacji wniosków o płatność oraz w</w:t>
      </w:r>
      <w:r w:rsidR="00E36E16">
        <w:rPr>
          <w:rFonts w:cs="Calibri"/>
        </w:rPr>
        <w:t> </w:t>
      </w:r>
      <w:r>
        <w:rPr>
          <w:rFonts w:cs="Calibri"/>
        </w:rPr>
        <w:t>trakcie kontroli na miejscu nie podlegają one sprawdzeniu. Koszty pośrednie w poszczególnych wnioskach o płatność będą rozliczane proporcjonalnie do wykazanych w tych wnioskach o płatność bezpośrednich wydatków kwalifikowalnych stanowiących podstawę do określenia wysokości kosztów pośrednich</w:t>
      </w:r>
      <w:r w:rsidR="00696403">
        <w:rPr>
          <w:rFonts w:cs="Calibri"/>
        </w:rPr>
        <w:t xml:space="preserve"> </w:t>
      </w:r>
      <w:r>
        <w:rPr>
          <w:rFonts w:cs="Calibri"/>
        </w:rPr>
        <w:t xml:space="preserve">. </w:t>
      </w:r>
      <w:r w:rsidR="007A0112">
        <w:t>W związku z powyższym nie dopuszcza się pobierania płatności zaliczkowych wyłącznie na pokrycie kosztów pośrednich w projekcie.</w:t>
      </w:r>
      <w:r w:rsidR="007A0112" w:rsidRPr="000413D2">
        <w:t xml:space="preserve"> </w:t>
      </w:r>
      <w:r w:rsidR="007A0112" w:rsidRPr="003518EF">
        <w:t>Koszty pośrednie mogą natomiast stanowić rozliczenie pobranej zaliczki, ale pod warunkiem, że Beneficjent jednocześnie wykazał we wniosku o płatność kwalifikowalne koszty bezpośrednie stanowiące podstawę wyliczenia stawki ryczałtowej</w:t>
      </w:r>
      <w:r w:rsidR="007A0112" w:rsidRPr="00FF5D5D">
        <w:t>.</w:t>
      </w:r>
    </w:p>
    <w:p w:rsidR="003636F1" w:rsidRPr="00145251" w:rsidRDefault="003636F1" w:rsidP="007A0112">
      <w:pPr>
        <w:spacing w:before="120" w:after="120"/>
        <w:jc w:val="both"/>
        <w:rPr>
          <w:rFonts w:cs="Calibri"/>
        </w:rPr>
      </w:pPr>
    </w:p>
    <w:p w:rsidR="00025329" w:rsidRDefault="00526548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etapie rozliczania projektu w</w:t>
      </w:r>
      <w:r w:rsidRPr="00813F7F">
        <w:rPr>
          <w:rFonts w:cs="Calibri"/>
        </w:rPr>
        <w:t>eryfikacja kosztów</w:t>
      </w:r>
      <w:r>
        <w:rPr>
          <w:rFonts w:cs="Calibri"/>
        </w:rPr>
        <w:t xml:space="preserve"> pośrednich</w:t>
      </w:r>
      <w:r w:rsidRPr="00813F7F">
        <w:rPr>
          <w:rFonts w:cs="Calibri"/>
        </w:rPr>
        <w:t xml:space="preserve"> rozliczanych za pomocą stawek ryczałtowych polega na sprawdzeniu, czy </w:t>
      </w:r>
      <w:r w:rsidR="009350A5">
        <w:rPr>
          <w:rFonts w:cs="Calibri"/>
        </w:rPr>
        <w:t>B</w:t>
      </w:r>
      <w:r w:rsidRPr="00813F7F">
        <w:rPr>
          <w:rFonts w:cs="Calibri"/>
        </w:rPr>
        <w:t xml:space="preserve">eneficjent prawidłowo zastosował </w:t>
      </w:r>
      <w:r>
        <w:rPr>
          <w:rFonts w:cs="Calibri"/>
        </w:rPr>
        <w:t>% stawki ryczałtowej</w:t>
      </w:r>
      <w:r w:rsidRPr="00813F7F">
        <w:rPr>
          <w:rFonts w:cs="Calibri"/>
        </w:rPr>
        <w:t xml:space="preserve"> wynikając</w:t>
      </w:r>
      <w:r>
        <w:rPr>
          <w:rFonts w:cs="Calibri"/>
        </w:rPr>
        <w:t>y</w:t>
      </w:r>
      <w:r w:rsidRPr="00813F7F">
        <w:rPr>
          <w:rFonts w:cs="Calibri"/>
        </w:rPr>
        <w:t xml:space="preserve"> z </w:t>
      </w:r>
      <w:r>
        <w:rPr>
          <w:rFonts w:cs="Calibri"/>
        </w:rPr>
        <w:t>umowy</w:t>
      </w:r>
      <w:r w:rsidR="009350A5">
        <w:rPr>
          <w:rFonts w:cs="Calibri"/>
        </w:rPr>
        <w:t>/porozumienia/decyzji</w:t>
      </w:r>
      <w:r>
        <w:rPr>
          <w:rFonts w:cs="Calibri"/>
        </w:rPr>
        <w:t xml:space="preserve"> o dofinansowani</w:t>
      </w:r>
      <w:r w:rsidR="009350A5">
        <w:rPr>
          <w:rFonts w:cs="Calibri"/>
        </w:rPr>
        <w:t>u</w:t>
      </w:r>
      <w:r>
        <w:rPr>
          <w:rFonts w:cs="Calibri"/>
        </w:rPr>
        <w:t xml:space="preserve"> projektu, </w:t>
      </w:r>
      <w:r w:rsidRPr="00813F7F">
        <w:rPr>
          <w:rFonts w:cs="Calibri"/>
        </w:rPr>
        <w:t>czy prawidłowo wykazał kwotę wydatków</w:t>
      </w:r>
      <w:r>
        <w:rPr>
          <w:rFonts w:cs="Calibri"/>
        </w:rPr>
        <w:t xml:space="preserve"> kwalifikowalnych </w:t>
      </w:r>
      <w:r w:rsidRPr="00813F7F">
        <w:rPr>
          <w:rFonts w:cs="Calibri"/>
        </w:rPr>
        <w:t xml:space="preserve">będącą podstawą wyliczenia </w:t>
      </w:r>
      <w:r>
        <w:rPr>
          <w:rFonts w:cs="Calibri"/>
        </w:rPr>
        <w:t xml:space="preserve">kosztów pośrednich oraz czy rozliczane w danym wniosku o płatność koszty pośrednie nie przekraczają kwot (wydatków kwalifikowalnych, dofinansowania) wskazanych w </w:t>
      </w:r>
      <w:r w:rsidRPr="00843D11">
        <w:rPr>
          <w:rFonts w:cs="Calibri"/>
        </w:rPr>
        <w:t>umowie</w:t>
      </w:r>
      <w:r w:rsidR="00843D11" w:rsidRPr="00696403">
        <w:rPr>
          <w:rFonts w:cs="Calibri"/>
        </w:rPr>
        <w:t>/</w:t>
      </w:r>
      <w:r w:rsidR="009350A5" w:rsidRPr="00843D11">
        <w:rPr>
          <w:rFonts w:cs="Calibri"/>
        </w:rPr>
        <w:t>porozumieniu</w:t>
      </w:r>
      <w:r w:rsidR="009350A5">
        <w:rPr>
          <w:rFonts w:cs="Calibri"/>
        </w:rPr>
        <w:t>/decyzji</w:t>
      </w:r>
      <w:r>
        <w:rPr>
          <w:rFonts w:cs="Calibri"/>
        </w:rPr>
        <w:t xml:space="preserve"> o dofinansowani</w:t>
      </w:r>
      <w:r w:rsidR="00C06A2E">
        <w:rPr>
          <w:rFonts w:cs="Calibri"/>
        </w:rPr>
        <w:t>u</w:t>
      </w:r>
      <w:r>
        <w:rPr>
          <w:rFonts w:cs="Calibri"/>
        </w:rPr>
        <w:t xml:space="preserve"> projektu</w:t>
      </w:r>
      <w:r w:rsidRPr="00813F7F">
        <w:rPr>
          <w:rFonts w:cs="Calibri"/>
        </w:rPr>
        <w:t>.</w:t>
      </w:r>
      <w:r>
        <w:rPr>
          <w:rFonts w:cs="Calibri"/>
        </w:rPr>
        <w:t xml:space="preserve"> </w:t>
      </w:r>
      <w:r w:rsidRPr="00813F7F">
        <w:rPr>
          <w:rFonts w:cs="Calibri"/>
        </w:rPr>
        <w:t xml:space="preserve">Jeśli </w:t>
      </w:r>
      <w:r>
        <w:rPr>
          <w:rFonts w:cs="Calibri"/>
        </w:rPr>
        <w:t xml:space="preserve">na etapie realizacji projektu oraz w trakcie jego trwałości dojdzie do zmiany wysokości bezpośrednich wydatków kwalifikowalnych projektu stanowiących podstawę do wyliczenia kosztów pośrednich (np. ulegną obniżeniu na skutek powstania oszczędności poprzetargowych, zastosowania korekt finansowych, reguły proporcjonalności z tytułu niezrealizowania wskaźników w projekcie), wówczas konieczne jest ponowne ustalenie wysokości kosztów pośrednich w projekcie (przy zachowaniu tego samego % stawki ryczałtowej). Nie wyklucza się wystąpienia sytuacji w której Beneficjent będzie zobligowany do zwrotu środków nienależnie pobranych wraz z odsetkami liczonymi jak dla zaległości podatkowych. </w:t>
      </w:r>
    </w:p>
    <w:p w:rsidR="007A0112" w:rsidRPr="00025329" w:rsidRDefault="007A0112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sectPr w:rsidR="007A0112" w:rsidRPr="00025329" w:rsidSect="005207CF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2F" w:rsidRDefault="00DB4F2F" w:rsidP="00BA376B">
      <w:pPr>
        <w:spacing w:after="0" w:line="240" w:lineRule="auto"/>
      </w:pPr>
      <w:r>
        <w:separator/>
      </w:r>
    </w:p>
  </w:endnote>
  <w:endnote w:type="continuationSeparator" w:id="0">
    <w:p w:rsidR="00DB4F2F" w:rsidRDefault="00DB4F2F" w:rsidP="00BA376B">
      <w:pPr>
        <w:spacing w:after="0" w:line="240" w:lineRule="auto"/>
      </w:pPr>
      <w:r>
        <w:continuationSeparator/>
      </w:r>
    </w:p>
  </w:endnote>
  <w:endnote w:type="continuationNotice" w:id="1">
    <w:p w:rsidR="00DB4F2F" w:rsidRDefault="00DB4F2F">
      <w:pPr>
        <w:spacing w:after="0" w:line="240" w:lineRule="auto"/>
      </w:pPr>
    </w:p>
  </w:endnote>
  <w:endnote w:id="2">
    <w:p w:rsidR="00DB4F2F" w:rsidRPr="002D3C6C" w:rsidRDefault="00DB4F2F" w:rsidP="00C5419D">
      <w:pPr>
        <w:pStyle w:val="Tekstprzypisukocoweg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BE92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732661"/>
      <w:docPartObj>
        <w:docPartGallery w:val="Page Numbers (Bottom of Page)"/>
        <w:docPartUnique/>
      </w:docPartObj>
    </w:sdtPr>
    <w:sdtEndPr/>
    <w:sdtContent>
      <w:p w:rsidR="00DB4F2F" w:rsidRDefault="00DB4F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4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B4F2F" w:rsidRDefault="00DB4F2F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2F" w:rsidRDefault="00DB4F2F" w:rsidP="00BA376B">
      <w:pPr>
        <w:spacing w:after="0" w:line="240" w:lineRule="auto"/>
      </w:pPr>
      <w:r>
        <w:separator/>
      </w:r>
    </w:p>
  </w:footnote>
  <w:footnote w:type="continuationSeparator" w:id="0">
    <w:p w:rsidR="00DB4F2F" w:rsidRDefault="00DB4F2F" w:rsidP="00BA376B">
      <w:pPr>
        <w:spacing w:after="0" w:line="240" w:lineRule="auto"/>
      </w:pPr>
      <w:r>
        <w:continuationSeparator/>
      </w:r>
    </w:p>
  </w:footnote>
  <w:footnote w:type="continuationNotice" w:id="1">
    <w:p w:rsidR="00DB4F2F" w:rsidRDefault="00DB4F2F">
      <w:pPr>
        <w:spacing w:after="0" w:line="240" w:lineRule="auto"/>
      </w:pPr>
    </w:p>
  </w:footnote>
  <w:footnote w:id="2">
    <w:p w:rsidR="00DB4F2F" w:rsidRPr="00013AFB" w:rsidRDefault="00DB4F2F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</w:t>
      </w:r>
      <w:r>
        <w:t> </w:t>
      </w:r>
      <w:r w:rsidRPr="00013AFB">
        <w:t>odniesieniu do obliczania kosztów kwalifikowalnych (Dz. Urz. UE L 156/1 z 20.6.2017, s. 1).</w:t>
      </w:r>
    </w:p>
  </w:footnote>
  <w:footnote w:id="3">
    <w:p w:rsidR="00DB4F2F" w:rsidRDefault="00DB4F2F" w:rsidP="009E58A1">
      <w:pPr>
        <w:pStyle w:val="Tekstprzypisudolnego"/>
        <w:jc w:val="both"/>
      </w:pPr>
      <w:r w:rsidRPr="00C40B9D">
        <w:rPr>
          <w:rStyle w:val="Odwoanieprzypisudolnego"/>
        </w:rPr>
        <w:footnoteRef/>
      </w:r>
      <w:r w:rsidRPr="00C40B9D">
        <w:t xml:space="preserve"> </w:t>
      </w:r>
      <w:bookmarkStart w:id="7" w:name="_Hlk520108149"/>
      <w:r w:rsidRPr="00C40B9D">
        <w:t>W</w:t>
      </w:r>
      <w:r w:rsidRPr="009E58A1">
        <w:t xml:space="preserve"> Załączniku nr 6 do SZOOP – „</w:t>
      </w:r>
      <w:r w:rsidRPr="009E58A1">
        <w:rPr>
          <w:i/>
        </w:rPr>
        <w:t>Zasadach kwalifikowalności wydatków w RPO WD 2014-2020”</w:t>
      </w:r>
      <w:r w:rsidRPr="009E58A1">
        <w:t xml:space="preserve"> (przyjętym w dniu 14.09.2015 r.) a następnie w „</w:t>
      </w:r>
      <w:r w:rsidRPr="009E58A1">
        <w:rPr>
          <w:i/>
        </w:rPr>
        <w:t xml:space="preserve">Wytycznych programowych w zakresie kwalifikowalności wydatków finansowanych z Europejskiego Funduszu Rozwoju Regionalnego w ramach Regionalnego Programu Operacyjnego Województwa Dolnośląskiego 2014-2020”, </w:t>
      </w:r>
      <w:r w:rsidRPr="009E58A1">
        <w:t>które zastąpiły Załącznik nr 6 do SZOOP i</w:t>
      </w:r>
      <w:r w:rsidRPr="009E58A1">
        <w:rPr>
          <w:i/>
        </w:rPr>
        <w:t xml:space="preserve"> </w:t>
      </w:r>
      <w:r w:rsidRPr="009E58A1">
        <w:t>obowiązywały (od dnia 21.11.2016 r.) przed wprowadzeniem Załącznika nr 7 do SZOOP.</w:t>
      </w:r>
      <w:r>
        <w:rPr>
          <w:b/>
        </w:rPr>
        <w:t xml:space="preserve"> </w:t>
      </w:r>
      <w:bookmarkEnd w:id="7"/>
    </w:p>
  </w:footnote>
  <w:footnote w:id="4">
    <w:p w:rsidR="00DB4F2F" w:rsidRPr="00013AFB" w:rsidRDefault="00DB4F2F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:rsidR="00DB4F2F" w:rsidRPr="00013AFB" w:rsidRDefault="00DB4F2F" w:rsidP="00013AFB">
      <w:pPr>
        <w:pStyle w:val="Tekstprzypisudolnego"/>
        <w:jc w:val="both"/>
        <w:rPr>
          <w:b/>
        </w:rPr>
      </w:pPr>
    </w:p>
  </w:footnote>
  <w:footnote w:id="5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przed 1 lutego 2020 r. – w przypadku działań mających na celu</w:t>
      </w:r>
      <w:r w:rsidRPr="00EF14EA">
        <w:t xml:space="preserve"> poprawę sytuacji epidemiologicznej w związku z koronawirusem (projektów typu 6.2 C)</w:t>
      </w:r>
      <w:r>
        <w:t>.</w:t>
      </w:r>
    </w:p>
  </w:footnote>
  <w:footnote w:id="6">
    <w:p w:rsidR="00DB4F2F" w:rsidRPr="00013AFB" w:rsidRDefault="00DB4F2F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:rsidR="00DB4F2F" w:rsidRPr="00013AFB" w:rsidRDefault="00DB4F2F">
      <w:pPr>
        <w:pStyle w:val="Tekstprzypisudolnego"/>
      </w:pPr>
    </w:p>
  </w:footnote>
  <w:footnote w:id="7">
    <w:p w:rsidR="00DB4F2F" w:rsidRDefault="00DB4F2F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13D7">
        <w:t>W przypadku rozliczania wydatku za pomocą stawki ryczałtowej – zastosowanie mają zapisy pkt. 4 UPROSZCZONE METODY ROZLICZANIA WYDATKÓW</w:t>
      </w:r>
      <w:r>
        <w:t>.</w:t>
      </w:r>
    </w:p>
  </w:footnote>
  <w:footnote w:id="8">
    <w:p w:rsidR="00DB4F2F" w:rsidRPr="00013AFB" w:rsidRDefault="00DB4F2F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9">
    <w:p w:rsidR="00DB4F2F" w:rsidRDefault="00DB4F2F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2835">
        <w:t>W przypadku rozliczania wydatku za pomocą stawki ryczałtowej – zastosowanie mają zapisy pkt. 4 UPROSZCZONE METODY ROZLICZANIA WYDATKÓW.</w:t>
      </w:r>
    </w:p>
  </w:footnote>
  <w:footnote w:id="10">
    <w:p w:rsidR="00DB4F2F" w:rsidRDefault="00DB4F2F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2835">
        <w:t>W przypadku rozliczania wydatku za pomocą stawki ryczałtowej – zastosowanie mają zapisy pkt. 4 UPROSZCZONE METODY ROZLICZANIA WYDATKÓW.</w:t>
      </w:r>
      <w:r>
        <w:t xml:space="preserve"> </w:t>
      </w:r>
    </w:p>
  </w:footnote>
  <w:footnote w:id="11">
    <w:p w:rsidR="00DB4F2F" w:rsidRPr="00013AFB" w:rsidRDefault="00DB4F2F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12">
    <w:p w:rsidR="00DB4F2F" w:rsidRPr="00013AFB" w:rsidRDefault="00DB4F2F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</w:t>
      </w:r>
      <w:r>
        <w:t>ia</w:t>
      </w:r>
      <w:r w:rsidRPr="00013AFB">
        <w:t xml:space="preserve"> 30 kwietnia 2010 r. o zasadach finansowania nauki).</w:t>
      </w:r>
    </w:p>
  </w:footnote>
  <w:footnote w:id="13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Dotyczy naborów do działania 1.1 ogłaszanych od października 2019 r. </w:t>
      </w:r>
    </w:p>
  </w:footnote>
  <w:footnote w:id="14">
    <w:p w:rsidR="00DB4F2F" w:rsidRPr="002E11F5" w:rsidRDefault="00DB4F2F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15">
    <w:p w:rsidR="00DB4F2F" w:rsidRPr="002E11F5" w:rsidRDefault="00DB4F2F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8" w:name="_Hlk493167426"/>
      <w:r w:rsidRPr="002E11F5">
        <w:t>Dla konkursów ogłaszanych od dnia 23.11.2015 r. – zapis nieobowiązujący.</w:t>
      </w:r>
      <w:bookmarkEnd w:id="8"/>
    </w:p>
  </w:footnote>
  <w:footnote w:id="16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28.12.2015 r. Dla konkursów ogłaszanych przed 28.12.2015 r. – zapis nieobowiązujący.</w:t>
      </w:r>
    </w:p>
  </w:footnote>
  <w:footnote w:id="17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8">
    <w:p w:rsidR="00DB4F2F" w:rsidRPr="002E11F5" w:rsidRDefault="00DB4F2F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9">
    <w:p w:rsidR="00DB4F2F" w:rsidRPr="002E11F5" w:rsidRDefault="00DB4F2F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10" w:name="_Hlk492628914"/>
      <w:r w:rsidRPr="002E11F5">
        <w:t>Dotyczy konkursów ogłaszanych od dnia 28.12.2015 r.</w:t>
      </w:r>
      <w:bookmarkEnd w:id="10"/>
      <w:r w:rsidRPr="002E11F5">
        <w:t xml:space="preserve"> Dla konkursów ogłaszanych przed 28.12.2015 r. – zapis nieobowiązujący.</w:t>
      </w:r>
    </w:p>
  </w:footnote>
  <w:footnote w:id="20">
    <w:p w:rsidR="00DB4F2F" w:rsidRPr="00013AFB" w:rsidRDefault="00DB4F2F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21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2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3">
    <w:p w:rsidR="00DB4F2F" w:rsidRPr="002E11F5" w:rsidRDefault="00DB4F2F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>
        <w:t>6</w:t>
      </w:r>
      <w:r w:rsidRPr="00013AFB">
        <w:t xml:space="preserve"> r. – zapis </w:t>
      </w:r>
      <w:r w:rsidRPr="002E11F5">
        <w:t>nieobowiązujący.</w:t>
      </w:r>
    </w:p>
  </w:footnote>
  <w:footnote w:id="24">
    <w:p w:rsidR="00DB4F2F" w:rsidRPr="00013AFB" w:rsidRDefault="00DB4F2F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5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3" w:name="_Hlk493575490"/>
      <w:r w:rsidRPr="00013AFB">
        <w:t>Dotyczy konkursów ogłaszanych od dnia 28.12.2015 r. Dla konkursów ogłaszanych przed 28.12.2015 r. – zapis nieobowiązujący.</w:t>
      </w:r>
      <w:bookmarkEnd w:id="13"/>
    </w:p>
  </w:footnote>
  <w:footnote w:id="26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7">
    <w:p w:rsidR="00DB4F2F" w:rsidRPr="00013AFB" w:rsidRDefault="00DB4F2F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Zapis w zakresie usług hotelarskich dotyczy konkursów ogłaszanych od dnia 23.05.2016 r. Dla konkursów ogłaszanych przed 23.05.2016 r. – zapis nieobowiązujący (wydatek w zakresie usług hotelarskich – niekwalifikowalny).</w:t>
      </w:r>
    </w:p>
  </w:footnote>
  <w:footnote w:id="28">
    <w:p w:rsidR="00DB4F2F" w:rsidRPr="00013AFB" w:rsidRDefault="00DB4F2F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9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0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1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>
        <w:t xml:space="preserve">ogłoszonego </w:t>
      </w:r>
      <w:r w:rsidRPr="00AF3591">
        <w:rPr>
          <w:rFonts w:eastAsia="Times New Roman" w:cs="Times New Roman"/>
        </w:rPr>
        <w:t>w dniu 25</w:t>
      </w:r>
      <w:r>
        <w:rPr>
          <w:rFonts w:eastAsia="Times New Roman" w:cs="Times New Roman"/>
        </w:rPr>
        <w:t>.06.</w:t>
      </w:r>
      <w:r w:rsidRPr="00AF3591">
        <w:rPr>
          <w:rFonts w:eastAsia="Times New Roman" w:cs="Times New Roman"/>
        </w:rPr>
        <w:t>2018 r.</w:t>
      </w:r>
    </w:p>
  </w:footnote>
  <w:footnote w:id="32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3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34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5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6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7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8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9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4" w:name="_Hlk492464795"/>
      <w:r w:rsidRPr="00013AFB">
        <w:t>Dotyczy konkursów ogłaszanych od dnia 16.01.2017 r. Dla konkursów ogłaszanych przed 16.01.2017 r. – zapis nieobowiązujący.</w:t>
      </w:r>
      <w:bookmarkEnd w:id="14"/>
    </w:p>
  </w:footnote>
  <w:footnote w:id="40">
    <w:p w:rsidR="00DB4F2F" w:rsidRDefault="00DB4F2F" w:rsidP="00E0122E">
      <w:pPr>
        <w:pStyle w:val="Tekstprzypisudolnego"/>
        <w:tabs>
          <w:tab w:val="left" w:pos="5490"/>
        </w:tabs>
      </w:pPr>
      <w:r>
        <w:rPr>
          <w:rStyle w:val="Odwoanieprzypisudolnego"/>
        </w:rPr>
        <w:footnoteRef/>
      </w:r>
      <w:r>
        <w:t xml:space="preserve"> </w:t>
      </w:r>
      <w:bookmarkStart w:id="15" w:name="_Hlk39495532"/>
      <w:r w:rsidRPr="001678D7">
        <w:t>D</w:t>
      </w:r>
      <w:r>
        <w:t>otyczy</w:t>
      </w:r>
      <w:r w:rsidRPr="001678D7">
        <w:t xml:space="preserve"> konkursów ogł</w:t>
      </w:r>
      <w:r>
        <w:t>a</w:t>
      </w:r>
      <w:r w:rsidRPr="001678D7">
        <w:t>sz</w:t>
      </w:r>
      <w:r>
        <w:t>a</w:t>
      </w:r>
      <w:r w:rsidRPr="001678D7">
        <w:t>nych od</w:t>
      </w:r>
      <w:r>
        <w:t xml:space="preserve"> dnia</w:t>
      </w:r>
      <w:r w:rsidRPr="001678D7">
        <w:t xml:space="preserve"> 30</w:t>
      </w:r>
      <w:r>
        <w:t>.10.</w:t>
      </w:r>
      <w:r w:rsidRPr="001678D7">
        <w:t>2019 r.</w:t>
      </w:r>
      <w:bookmarkEnd w:id="15"/>
    </w:p>
  </w:footnote>
  <w:footnote w:id="41">
    <w:p w:rsidR="00DB4F2F" w:rsidRPr="00013AFB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42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43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Nie dotyczy typu 3.3 d </w:t>
      </w:r>
      <w:r>
        <w:rPr>
          <w:rFonts w:cs="Arial"/>
        </w:rPr>
        <w:t>Wsparcie za pomocą instrumentów finansowych</w:t>
      </w:r>
    </w:p>
  </w:footnote>
  <w:footnote w:id="44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30.10.2019 r.</w:t>
      </w:r>
    </w:p>
  </w:footnote>
  <w:footnote w:id="45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30.10.2019 r.</w:t>
      </w:r>
    </w:p>
  </w:footnote>
  <w:footnote w:id="46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7" w:name="_Hlk520105575"/>
      <w:r w:rsidRPr="00013AFB">
        <w:t xml:space="preserve">Dla konkursów ogłoszonych przed 16.01.2017 r. </w:t>
      </w:r>
      <w:r w:rsidRPr="00E0122E">
        <w:t>oraz dla konkursu RPDS.03.04.04-IP.03-02-248/17</w:t>
      </w:r>
      <w:r w:rsidRPr="00E0122E">
        <w:rPr>
          <w:color w:val="7030A0"/>
        </w:rPr>
        <w:t xml:space="preserve"> </w:t>
      </w:r>
      <w:r w:rsidRPr="00013AFB">
        <w:t>– 50%.</w:t>
      </w:r>
      <w:bookmarkEnd w:id="17"/>
    </w:p>
  </w:footnote>
  <w:footnote w:id="47">
    <w:p w:rsidR="00DB4F2F" w:rsidRPr="00BF181E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</w:t>
      </w:r>
      <w:r w:rsidRPr="00E0122E">
        <w:t xml:space="preserve">oraz dla konkursu RPDS.03.04.04-IP.03-02-248/17 </w:t>
      </w:r>
      <w:r w:rsidRPr="00F8764D">
        <w:t>– 50</w:t>
      </w:r>
      <w:r w:rsidRPr="00BF181E">
        <w:t>%.</w:t>
      </w:r>
    </w:p>
  </w:footnote>
  <w:footnote w:id="48">
    <w:p w:rsidR="00DB4F2F" w:rsidRPr="00013AFB" w:rsidRDefault="00DB4F2F">
      <w:pPr>
        <w:pStyle w:val="Tekstprzypisudolnego"/>
      </w:pPr>
      <w:r w:rsidRPr="00BF181E">
        <w:rPr>
          <w:rStyle w:val="Odwoanieprzypisudolnego"/>
        </w:rPr>
        <w:footnoteRef/>
      </w:r>
      <w:r w:rsidRPr="00BF181E">
        <w:t xml:space="preserve"> Dla konkursów ogłoszonych przed 16.01.2017 r</w:t>
      </w:r>
      <w:r w:rsidRPr="00F8764D">
        <w:t xml:space="preserve">. </w:t>
      </w:r>
      <w:r w:rsidRPr="00E0122E">
        <w:t>oraz dla konkursu RPDS.03.04.04-IP.03-02-248/17</w:t>
      </w:r>
      <w:r w:rsidRPr="00E0122E">
        <w:rPr>
          <w:color w:val="7030A0"/>
        </w:rPr>
        <w:t xml:space="preserve"> </w:t>
      </w:r>
      <w:r w:rsidRPr="00013AFB">
        <w:t>– 50%.</w:t>
      </w:r>
      <w:r>
        <w:t xml:space="preserve"> </w:t>
      </w:r>
      <w:bookmarkStart w:id="18" w:name="_Hlk520112641"/>
      <w:r>
        <w:t>D</w:t>
      </w:r>
      <w:r w:rsidRPr="00E828B9">
        <w:t xml:space="preserve">la konkursów ogłoszonych </w:t>
      </w:r>
      <w:r>
        <w:t>od dnia 16.01.2017 r. do dnia</w:t>
      </w:r>
      <w:r w:rsidRPr="00E828B9">
        <w:t xml:space="preserve"> </w:t>
      </w:r>
      <w:r>
        <w:t>24</w:t>
      </w:r>
      <w:r w:rsidRPr="00E828B9">
        <w:t>.0</w:t>
      </w:r>
      <w:r>
        <w:t>7</w:t>
      </w:r>
      <w:r w:rsidRPr="00E828B9">
        <w:t>.201</w:t>
      </w:r>
      <w:r>
        <w:t>8 </w:t>
      </w:r>
      <w:r w:rsidRPr="00E828B9">
        <w:t xml:space="preserve">r. – </w:t>
      </w:r>
      <w:r>
        <w:t>49</w:t>
      </w:r>
      <w:r w:rsidRPr="00E828B9">
        <w:t>%</w:t>
      </w:r>
      <w:r>
        <w:t>.</w:t>
      </w:r>
      <w:bookmarkEnd w:id="18"/>
    </w:p>
  </w:footnote>
  <w:footnote w:id="49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0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1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2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3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4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55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>
        <w:t>obniżyć wydatki kwalifikowalne.</w:t>
      </w:r>
    </w:p>
  </w:footnote>
  <w:footnote w:id="56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7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8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9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60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61">
    <w:p w:rsidR="00DB4F2F" w:rsidRPr="00042236" w:rsidRDefault="00DB4F2F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62">
    <w:p w:rsidR="00DB4F2F" w:rsidRPr="00042236" w:rsidRDefault="00DB4F2F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63">
    <w:p w:rsidR="00DB4F2F" w:rsidRPr="00042236" w:rsidRDefault="00DB4F2F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>
        <w:t>7</w:t>
      </w:r>
      <w:r w:rsidRPr="00042236">
        <w:t xml:space="preserve"> r. – zapis nieobowiązujący.</w:t>
      </w:r>
    </w:p>
  </w:footnote>
  <w:footnote w:id="64">
    <w:p w:rsidR="00DB4F2F" w:rsidRPr="00042236" w:rsidRDefault="00DB4F2F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65">
    <w:p w:rsidR="00DB4F2F" w:rsidRPr="00042236" w:rsidRDefault="00DB4F2F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66">
    <w:p w:rsidR="00DB4F2F" w:rsidRPr="00042236" w:rsidRDefault="00DB4F2F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67">
    <w:p w:rsidR="00DB4F2F" w:rsidRPr="00042236" w:rsidRDefault="00DB4F2F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>
        <w:t>.</w:t>
      </w:r>
    </w:p>
  </w:footnote>
  <w:footnote w:id="68">
    <w:p w:rsidR="00DB4F2F" w:rsidRPr="00042236" w:rsidRDefault="00DB4F2F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69">
    <w:p w:rsidR="00DB4F2F" w:rsidRPr="00042236" w:rsidRDefault="00DB4F2F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70">
    <w:p w:rsidR="00DB4F2F" w:rsidRPr="00013AFB" w:rsidRDefault="00DB4F2F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71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72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73">
    <w:p w:rsidR="00DB4F2F" w:rsidRDefault="00DB4F2F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konkursów ogłaszanych do dnia 21.05.2018 r.</w:t>
      </w:r>
      <w:r w:rsidRPr="00A73672">
        <w:t xml:space="preserve"> </w:t>
      </w:r>
      <w:r>
        <w:t>Dla konkursów ogłaszanych po</w:t>
      </w:r>
      <w:r w:rsidRPr="00A73672">
        <w:t xml:space="preserve"> 21.05.2018 r. – zapis nieobowiązujący.</w:t>
      </w:r>
    </w:p>
  </w:footnote>
  <w:footnote w:id="74">
    <w:p w:rsidR="00DB4F2F" w:rsidRPr="00013AFB" w:rsidRDefault="00DB4F2F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75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Dotyczy konkursów ogłaszanych do dnia 21.05.2018 r. </w:t>
      </w:r>
      <w:r>
        <w:t xml:space="preserve">oraz konkursu ogłaszanego 20.12.2019 r. </w:t>
      </w:r>
      <w:r w:rsidRPr="00995C0A">
        <w:t>Dla konkursów ogłaszanych po 21.05.2018 r. – zapis nieobowiązujący</w:t>
      </w:r>
      <w:r>
        <w:t xml:space="preserve"> </w:t>
      </w:r>
      <w:r w:rsidRPr="002F17A7">
        <w:t xml:space="preserve"> </w:t>
      </w:r>
      <w:r>
        <w:t xml:space="preserve">(w </w:t>
      </w:r>
      <w:r w:rsidRPr="002F17A7">
        <w:t>przypadku konkursu ogłaszanego 20.12.2019 r. – zapis obowiązujący</w:t>
      </w:r>
      <w:r>
        <w:t>)</w:t>
      </w:r>
      <w:r w:rsidRPr="00995C0A">
        <w:t>.</w:t>
      </w:r>
    </w:p>
  </w:footnote>
  <w:footnote w:id="76">
    <w:p w:rsidR="00DB4F2F" w:rsidRDefault="00D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Times New Roman"/>
        </w:rPr>
        <w:t xml:space="preserve">W naborach na szkolnictwo zawodowe (dotyczy konkursów </w:t>
      </w:r>
      <w:r>
        <w:t>ogłaszanych od 20.12.2019 r.)</w:t>
      </w:r>
      <w:r>
        <w:rPr>
          <w:rFonts w:eastAsia="Times New Roman" w:cs="Times New Roman"/>
        </w:rPr>
        <w:t xml:space="preserve"> w przypadku zespołów szkół specjalnych </w:t>
      </w:r>
      <w:r w:rsidRPr="00A9043C">
        <w:rPr>
          <w:rFonts w:eastAsia="Times New Roman" w:cs="Times New Roman"/>
        </w:rPr>
        <w:t xml:space="preserve">możliwe jest sfinansowanie w ramach projektu </w:t>
      </w:r>
      <w:r w:rsidRPr="00C61726">
        <w:rPr>
          <w:rFonts w:eastAsia="Times New Roman" w:cs="Times New Roman"/>
          <w:b/>
        </w:rPr>
        <w:t>części wspólnych budynku</w:t>
      </w:r>
      <w:r w:rsidRPr="00A9043C">
        <w:rPr>
          <w:rFonts w:eastAsia="Times New Roman" w:cs="Times New Roman"/>
        </w:rPr>
        <w:t>, w który</w:t>
      </w:r>
      <w:r>
        <w:rPr>
          <w:rFonts w:eastAsia="Times New Roman" w:cs="Times New Roman"/>
        </w:rPr>
        <w:t>ch</w:t>
      </w:r>
      <w:r w:rsidRPr="00A9043C">
        <w:rPr>
          <w:rFonts w:eastAsia="Times New Roman" w:cs="Times New Roman"/>
        </w:rPr>
        <w:t xml:space="preserve"> prowadzone jest kształcenie ogólne (także na poziomie podstawowym), np. sali gimnastycznej, korytarza, dachu.</w:t>
      </w:r>
      <w:r>
        <w:rPr>
          <w:rFonts w:eastAsia="Times New Roman" w:cs="Times New Roman"/>
        </w:rPr>
        <w:t xml:space="preserve"> </w:t>
      </w:r>
    </w:p>
  </w:footnote>
  <w:footnote w:id="77">
    <w:p w:rsidR="00DB4F2F" w:rsidRPr="00013AFB" w:rsidRDefault="00DB4F2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2F" w:rsidRDefault="00DB4F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60F0F17"/>
    <w:multiLevelType w:val="hybridMultilevel"/>
    <w:tmpl w:val="3D1A7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B7749"/>
    <w:multiLevelType w:val="hybridMultilevel"/>
    <w:tmpl w:val="D7A0CA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33AE"/>
    <w:multiLevelType w:val="hybridMultilevel"/>
    <w:tmpl w:val="9FC02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955C7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7BC8"/>
    <w:multiLevelType w:val="hybridMultilevel"/>
    <w:tmpl w:val="ECA2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F03AF"/>
    <w:multiLevelType w:val="hybridMultilevel"/>
    <w:tmpl w:val="C288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C634326"/>
    <w:multiLevelType w:val="multilevel"/>
    <w:tmpl w:val="7F2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54148"/>
    <w:multiLevelType w:val="hybridMultilevel"/>
    <w:tmpl w:val="3E4C6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BB7E3B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C13F84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3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419E6"/>
    <w:multiLevelType w:val="hybridMultilevel"/>
    <w:tmpl w:val="65B06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62EAC"/>
    <w:multiLevelType w:val="hybridMultilevel"/>
    <w:tmpl w:val="C6D8D4BE"/>
    <w:lvl w:ilvl="0" w:tplc="1FC643B8">
      <w:start w:val="1"/>
      <w:numFmt w:val="upperLetter"/>
      <w:lvlText w:val="4.4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40B98"/>
    <w:multiLevelType w:val="hybridMultilevel"/>
    <w:tmpl w:val="0A3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E439F"/>
    <w:multiLevelType w:val="hybridMultilevel"/>
    <w:tmpl w:val="950EB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16"/>
  </w:num>
  <w:num w:numId="7">
    <w:abstractNumId w:val="0"/>
  </w:num>
  <w:num w:numId="8">
    <w:abstractNumId w:val="11"/>
  </w:num>
  <w:num w:numId="9">
    <w:abstractNumId w:val="37"/>
  </w:num>
  <w:num w:numId="10">
    <w:abstractNumId w:val="25"/>
  </w:num>
  <w:num w:numId="11">
    <w:abstractNumId w:val="18"/>
  </w:num>
  <w:num w:numId="12">
    <w:abstractNumId w:val="17"/>
  </w:num>
  <w:num w:numId="13">
    <w:abstractNumId w:val="35"/>
  </w:num>
  <w:num w:numId="14">
    <w:abstractNumId w:val="9"/>
  </w:num>
  <w:num w:numId="15">
    <w:abstractNumId w:val="29"/>
  </w:num>
  <w:num w:numId="16">
    <w:abstractNumId w:val="33"/>
  </w:num>
  <w:num w:numId="17">
    <w:abstractNumId w:val="31"/>
  </w:num>
  <w:num w:numId="18">
    <w:abstractNumId w:val="36"/>
  </w:num>
  <w:num w:numId="19">
    <w:abstractNumId w:val="23"/>
  </w:num>
  <w:num w:numId="20">
    <w:abstractNumId w:val="14"/>
  </w:num>
  <w:num w:numId="21">
    <w:abstractNumId w:val="7"/>
  </w:num>
  <w:num w:numId="22">
    <w:abstractNumId w:val="2"/>
  </w:num>
  <w:num w:numId="23">
    <w:abstractNumId w:val="28"/>
  </w:num>
  <w:num w:numId="24">
    <w:abstractNumId w:val="34"/>
  </w:num>
  <w:num w:numId="25">
    <w:abstractNumId w:val="8"/>
  </w:num>
  <w:num w:numId="26">
    <w:abstractNumId w:val="32"/>
  </w:num>
  <w:num w:numId="27">
    <w:abstractNumId w:val="15"/>
  </w:num>
  <w:num w:numId="28">
    <w:abstractNumId w:val="19"/>
  </w:num>
  <w:num w:numId="29">
    <w:abstractNumId w:val="40"/>
  </w:num>
  <w:num w:numId="30">
    <w:abstractNumId w:val="39"/>
  </w:num>
  <w:num w:numId="31">
    <w:abstractNumId w:val="0"/>
  </w:num>
  <w:num w:numId="32">
    <w:abstractNumId w:val="10"/>
  </w:num>
  <w:num w:numId="33">
    <w:abstractNumId w:val="26"/>
  </w:num>
  <w:num w:numId="34">
    <w:abstractNumId w:val="6"/>
  </w:num>
  <w:num w:numId="35">
    <w:abstractNumId w:val="30"/>
  </w:num>
  <w:num w:numId="36">
    <w:abstractNumId w:val="41"/>
  </w:num>
  <w:num w:numId="37">
    <w:abstractNumId w:val="20"/>
  </w:num>
  <w:num w:numId="38">
    <w:abstractNumId w:val="27"/>
  </w:num>
  <w:num w:numId="39">
    <w:abstractNumId w:val="22"/>
  </w:num>
  <w:num w:numId="40">
    <w:abstractNumId w:val="38"/>
  </w:num>
  <w:num w:numId="41">
    <w:abstractNumId w:val="21"/>
  </w:num>
  <w:num w:numId="42">
    <w:abstractNumId w:val="24"/>
  </w:num>
  <w:num w:numId="43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B"/>
    <w:rsid w:val="00000C17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15494"/>
    <w:rsid w:val="00017E28"/>
    <w:rsid w:val="0002135C"/>
    <w:rsid w:val="000246BF"/>
    <w:rsid w:val="00025329"/>
    <w:rsid w:val="00025963"/>
    <w:rsid w:val="0003417B"/>
    <w:rsid w:val="0003532D"/>
    <w:rsid w:val="00042236"/>
    <w:rsid w:val="00052188"/>
    <w:rsid w:val="00052964"/>
    <w:rsid w:val="00052D63"/>
    <w:rsid w:val="000543A5"/>
    <w:rsid w:val="00060332"/>
    <w:rsid w:val="000608D2"/>
    <w:rsid w:val="000659B6"/>
    <w:rsid w:val="00066EE6"/>
    <w:rsid w:val="0008176A"/>
    <w:rsid w:val="000824FA"/>
    <w:rsid w:val="00083768"/>
    <w:rsid w:val="00083CEF"/>
    <w:rsid w:val="00084916"/>
    <w:rsid w:val="00084C67"/>
    <w:rsid w:val="00084D56"/>
    <w:rsid w:val="0008638F"/>
    <w:rsid w:val="000906B8"/>
    <w:rsid w:val="00093E1E"/>
    <w:rsid w:val="0009794A"/>
    <w:rsid w:val="000A1413"/>
    <w:rsid w:val="000A18F7"/>
    <w:rsid w:val="000A19EB"/>
    <w:rsid w:val="000A53A4"/>
    <w:rsid w:val="000B01E1"/>
    <w:rsid w:val="000B0270"/>
    <w:rsid w:val="000B129E"/>
    <w:rsid w:val="000B469C"/>
    <w:rsid w:val="000B4D29"/>
    <w:rsid w:val="000C3A67"/>
    <w:rsid w:val="000C582F"/>
    <w:rsid w:val="000C763D"/>
    <w:rsid w:val="000D0455"/>
    <w:rsid w:val="000D0C61"/>
    <w:rsid w:val="000D1933"/>
    <w:rsid w:val="000D51E7"/>
    <w:rsid w:val="000E0CA5"/>
    <w:rsid w:val="000E1A11"/>
    <w:rsid w:val="000E1DB0"/>
    <w:rsid w:val="000E298A"/>
    <w:rsid w:val="000E7698"/>
    <w:rsid w:val="000F001B"/>
    <w:rsid w:val="000F27B2"/>
    <w:rsid w:val="000F49C6"/>
    <w:rsid w:val="000F6F00"/>
    <w:rsid w:val="000F7BBA"/>
    <w:rsid w:val="000F7BCE"/>
    <w:rsid w:val="0010120B"/>
    <w:rsid w:val="00101EF8"/>
    <w:rsid w:val="00102803"/>
    <w:rsid w:val="00102960"/>
    <w:rsid w:val="00102DDD"/>
    <w:rsid w:val="00103C88"/>
    <w:rsid w:val="00105CE8"/>
    <w:rsid w:val="00106049"/>
    <w:rsid w:val="001113B7"/>
    <w:rsid w:val="001116F8"/>
    <w:rsid w:val="00111E58"/>
    <w:rsid w:val="00112C79"/>
    <w:rsid w:val="00113C5E"/>
    <w:rsid w:val="001145A6"/>
    <w:rsid w:val="001149C0"/>
    <w:rsid w:val="00117082"/>
    <w:rsid w:val="001213D3"/>
    <w:rsid w:val="00122E9E"/>
    <w:rsid w:val="00133041"/>
    <w:rsid w:val="00133D89"/>
    <w:rsid w:val="00134C78"/>
    <w:rsid w:val="001360A7"/>
    <w:rsid w:val="00144BB9"/>
    <w:rsid w:val="00145381"/>
    <w:rsid w:val="00146477"/>
    <w:rsid w:val="00161A28"/>
    <w:rsid w:val="001639F2"/>
    <w:rsid w:val="00165F60"/>
    <w:rsid w:val="00166557"/>
    <w:rsid w:val="001678D7"/>
    <w:rsid w:val="00167C31"/>
    <w:rsid w:val="00170946"/>
    <w:rsid w:val="00171832"/>
    <w:rsid w:val="00171D56"/>
    <w:rsid w:val="00176EB7"/>
    <w:rsid w:val="001776F9"/>
    <w:rsid w:val="001802C5"/>
    <w:rsid w:val="0018241A"/>
    <w:rsid w:val="00185D4F"/>
    <w:rsid w:val="001864C1"/>
    <w:rsid w:val="001866BB"/>
    <w:rsid w:val="0019266F"/>
    <w:rsid w:val="00195883"/>
    <w:rsid w:val="00195F10"/>
    <w:rsid w:val="001A68EE"/>
    <w:rsid w:val="001B07A5"/>
    <w:rsid w:val="001B1966"/>
    <w:rsid w:val="001B53D6"/>
    <w:rsid w:val="001B568C"/>
    <w:rsid w:val="001B56C8"/>
    <w:rsid w:val="001B5A3E"/>
    <w:rsid w:val="001B7507"/>
    <w:rsid w:val="001C2CCF"/>
    <w:rsid w:val="001C5E65"/>
    <w:rsid w:val="001D03FF"/>
    <w:rsid w:val="001D14A0"/>
    <w:rsid w:val="001D4A2D"/>
    <w:rsid w:val="001E1928"/>
    <w:rsid w:val="001E33E2"/>
    <w:rsid w:val="001E5257"/>
    <w:rsid w:val="001E5BD1"/>
    <w:rsid w:val="001F282A"/>
    <w:rsid w:val="001F2B8F"/>
    <w:rsid w:val="001F6903"/>
    <w:rsid w:val="001F7D9D"/>
    <w:rsid w:val="0020153F"/>
    <w:rsid w:val="00203B6D"/>
    <w:rsid w:val="0020624F"/>
    <w:rsid w:val="00210E35"/>
    <w:rsid w:val="002110F5"/>
    <w:rsid w:val="00211DDA"/>
    <w:rsid w:val="0021496F"/>
    <w:rsid w:val="00214A63"/>
    <w:rsid w:val="002160BC"/>
    <w:rsid w:val="00220284"/>
    <w:rsid w:val="00222BEE"/>
    <w:rsid w:val="0022532B"/>
    <w:rsid w:val="00225518"/>
    <w:rsid w:val="00230321"/>
    <w:rsid w:val="002312B7"/>
    <w:rsid w:val="00231423"/>
    <w:rsid w:val="00240C18"/>
    <w:rsid w:val="00241E1E"/>
    <w:rsid w:val="00243F87"/>
    <w:rsid w:val="002464C4"/>
    <w:rsid w:val="00251E0F"/>
    <w:rsid w:val="0025620F"/>
    <w:rsid w:val="00261786"/>
    <w:rsid w:val="002618A4"/>
    <w:rsid w:val="00262CBA"/>
    <w:rsid w:val="002645BC"/>
    <w:rsid w:val="00267983"/>
    <w:rsid w:val="00274C6E"/>
    <w:rsid w:val="00277C45"/>
    <w:rsid w:val="0028003C"/>
    <w:rsid w:val="002800FC"/>
    <w:rsid w:val="00283048"/>
    <w:rsid w:val="00283995"/>
    <w:rsid w:val="00285E19"/>
    <w:rsid w:val="002955DC"/>
    <w:rsid w:val="002A1E9F"/>
    <w:rsid w:val="002A3B5A"/>
    <w:rsid w:val="002A5D3C"/>
    <w:rsid w:val="002B102C"/>
    <w:rsid w:val="002B4DBE"/>
    <w:rsid w:val="002B7AA0"/>
    <w:rsid w:val="002C3185"/>
    <w:rsid w:val="002C50D4"/>
    <w:rsid w:val="002C5B11"/>
    <w:rsid w:val="002D017D"/>
    <w:rsid w:val="002D3C6C"/>
    <w:rsid w:val="002E02A1"/>
    <w:rsid w:val="002E0308"/>
    <w:rsid w:val="002E11F5"/>
    <w:rsid w:val="002E1FA9"/>
    <w:rsid w:val="002E2386"/>
    <w:rsid w:val="002E2DC5"/>
    <w:rsid w:val="002E341E"/>
    <w:rsid w:val="002E4C4C"/>
    <w:rsid w:val="002E69F4"/>
    <w:rsid w:val="002F108B"/>
    <w:rsid w:val="002F212C"/>
    <w:rsid w:val="002F2152"/>
    <w:rsid w:val="002F21B3"/>
    <w:rsid w:val="002F4911"/>
    <w:rsid w:val="002F5739"/>
    <w:rsid w:val="00300834"/>
    <w:rsid w:val="003049DC"/>
    <w:rsid w:val="00304F3E"/>
    <w:rsid w:val="00306106"/>
    <w:rsid w:val="003128AA"/>
    <w:rsid w:val="00312EA2"/>
    <w:rsid w:val="00315AD7"/>
    <w:rsid w:val="00316F35"/>
    <w:rsid w:val="00321E4D"/>
    <w:rsid w:val="003260E2"/>
    <w:rsid w:val="00330410"/>
    <w:rsid w:val="0033048A"/>
    <w:rsid w:val="0033340B"/>
    <w:rsid w:val="00333CB0"/>
    <w:rsid w:val="00333D42"/>
    <w:rsid w:val="00335251"/>
    <w:rsid w:val="0034312D"/>
    <w:rsid w:val="00344CB8"/>
    <w:rsid w:val="00345201"/>
    <w:rsid w:val="003463E9"/>
    <w:rsid w:val="00351541"/>
    <w:rsid w:val="0035191C"/>
    <w:rsid w:val="00352F66"/>
    <w:rsid w:val="00355BD0"/>
    <w:rsid w:val="0035767B"/>
    <w:rsid w:val="003636F1"/>
    <w:rsid w:val="003660EA"/>
    <w:rsid w:val="00366375"/>
    <w:rsid w:val="00370D86"/>
    <w:rsid w:val="00372F2E"/>
    <w:rsid w:val="003818AE"/>
    <w:rsid w:val="00384A7D"/>
    <w:rsid w:val="003852FD"/>
    <w:rsid w:val="003865F7"/>
    <w:rsid w:val="003873F4"/>
    <w:rsid w:val="003878D6"/>
    <w:rsid w:val="0039420B"/>
    <w:rsid w:val="00394D81"/>
    <w:rsid w:val="0039514F"/>
    <w:rsid w:val="003A21E8"/>
    <w:rsid w:val="003A2235"/>
    <w:rsid w:val="003A2CB6"/>
    <w:rsid w:val="003A6B11"/>
    <w:rsid w:val="003A7603"/>
    <w:rsid w:val="003B0F95"/>
    <w:rsid w:val="003B200E"/>
    <w:rsid w:val="003B2988"/>
    <w:rsid w:val="003B5299"/>
    <w:rsid w:val="003B76E4"/>
    <w:rsid w:val="003C1C25"/>
    <w:rsid w:val="003C2697"/>
    <w:rsid w:val="003C3DD4"/>
    <w:rsid w:val="003C429D"/>
    <w:rsid w:val="003C461F"/>
    <w:rsid w:val="003C4F00"/>
    <w:rsid w:val="003C6712"/>
    <w:rsid w:val="003E0BB4"/>
    <w:rsid w:val="003E3046"/>
    <w:rsid w:val="003E5F09"/>
    <w:rsid w:val="003E6A54"/>
    <w:rsid w:val="003E6A5F"/>
    <w:rsid w:val="003E740F"/>
    <w:rsid w:val="003F064E"/>
    <w:rsid w:val="003F0BE3"/>
    <w:rsid w:val="003F26A4"/>
    <w:rsid w:val="003F3E56"/>
    <w:rsid w:val="003F6BB8"/>
    <w:rsid w:val="00401E2F"/>
    <w:rsid w:val="00402CB5"/>
    <w:rsid w:val="0040430E"/>
    <w:rsid w:val="00405F6A"/>
    <w:rsid w:val="00410184"/>
    <w:rsid w:val="00420900"/>
    <w:rsid w:val="004244C9"/>
    <w:rsid w:val="00424DB0"/>
    <w:rsid w:val="00426F75"/>
    <w:rsid w:val="00431815"/>
    <w:rsid w:val="0043438C"/>
    <w:rsid w:val="0043775A"/>
    <w:rsid w:val="00437EDB"/>
    <w:rsid w:val="00440827"/>
    <w:rsid w:val="00442ACB"/>
    <w:rsid w:val="004455BC"/>
    <w:rsid w:val="0044751A"/>
    <w:rsid w:val="00450260"/>
    <w:rsid w:val="00450CD0"/>
    <w:rsid w:val="0045119D"/>
    <w:rsid w:val="0045127E"/>
    <w:rsid w:val="00454E85"/>
    <w:rsid w:val="00455244"/>
    <w:rsid w:val="004560EA"/>
    <w:rsid w:val="00467A9A"/>
    <w:rsid w:val="004739A6"/>
    <w:rsid w:val="00474CDD"/>
    <w:rsid w:val="00476F64"/>
    <w:rsid w:val="004776FD"/>
    <w:rsid w:val="00480147"/>
    <w:rsid w:val="0048731C"/>
    <w:rsid w:val="004928C4"/>
    <w:rsid w:val="00492E18"/>
    <w:rsid w:val="004959BB"/>
    <w:rsid w:val="004968A6"/>
    <w:rsid w:val="004971D5"/>
    <w:rsid w:val="00497328"/>
    <w:rsid w:val="00497B20"/>
    <w:rsid w:val="004A2A2C"/>
    <w:rsid w:val="004A2B72"/>
    <w:rsid w:val="004A3FF0"/>
    <w:rsid w:val="004B1544"/>
    <w:rsid w:val="004B266A"/>
    <w:rsid w:val="004B38E8"/>
    <w:rsid w:val="004B402E"/>
    <w:rsid w:val="004B50A2"/>
    <w:rsid w:val="004D2944"/>
    <w:rsid w:val="004D36A9"/>
    <w:rsid w:val="004D6239"/>
    <w:rsid w:val="004E2152"/>
    <w:rsid w:val="004E3624"/>
    <w:rsid w:val="004E4F5F"/>
    <w:rsid w:val="004E5DB2"/>
    <w:rsid w:val="004F01DC"/>
    <w:rsid w:val="004F19B4"/>
    <w:rsid w:val="00503959"/>
    <w:rsid w:val="005100D3"/>
    <w:rsid w:val="00513F17"/>
    <w:rsid w:val="00513FA5"/>
    <w:rsid w:val="0051723A"/>
    <w:rsid w:val="005207CF"/>
    <w:rsid w:val="00523226"/>
    <w:rsid w:val="005241F1"/>
    <w:rsid w:val="005241FD"/>
    <w:rsid w:val="00526548"/>
    <w:rsid w:val="00530FE3"/>
    <w:rsid w:val="00532933"/>
    <w:rsid w:val="005343C1"/>
    <w:rsid w:val="0054205A"/>
    <w:rsid w:val="00543FDD"/>
    <w:rsid w:val="00550BB3"/>
    <w:rsid w:val="005513A3"/>
    <w:rsid w:val="005514D5"/>
    <w:rsid w:val="00556119"/>
    <w:rsid w:val="00564793"/>
    <w:rsid w:val="005648B6"/>
    <w:rsid w:val="00564B2E"/>
    <w:rsid w:val="00570123"/>
    <w:rsid w:val="005713F9"/>
    <w:rsid w:val="00571E01"/>
    <w:rsid w:val="00572698"/>
    <w:rsid w:val="005748F6"/>
    <w:rsid w:val="00577616"/>
    <w:rsid w:val="00580F5D"/>
    <w:rsid w:val="00582835"/>
    <w:rsid w:val="0058440F"/>
    <w:rsid w:val="005845A4"/>
    <w:rsid w:val="005862AC"/>
    <w:rsid w:val="00587278"/>
    <w:rsid w:val="005953E3"/>
    <w:rsid w:val="005A05C2"/>
    <w:rsid w:val="005A1230"/>
    <w:rsid w:val="005A1C33"/>
    <w:rsid w:val="005A293F"/>
    <w:rsid w:val="005A2AD0"/>
    <w:rsid w:val="005A2D3C"/>
    <w:rsid w:val="005A59A6"/>
    <w:rsid w:val="005A77B8"/>
    <w:rsid w:val="005B69D1"/>
    <w:rsid w:val="005C33F4"/>
    <w:rsid w:val="005C4AA9"/>
    <w:rsid w:val="005C51F6"/>
    <w:rsid w:val="005D0B21"/>
    <w:rsid w:val="005D6DC1"/>
    <w:rsid w:val="005E0959"/>
    <w:rsid w:val="005E6D8D"/>
    <w:rsid w:val="005E77EA"/>
    <w:rsid w:val="005F13D7"/>
    <w:rsid w:val="005F25CC"/>
    <w:rsid w:val="005F2AAC"/>
    <w:rsid w:val="006152C8"/>
    <w:rsid w:val="00616985"/>
    <w:rsid w:val="00617EF1"/>
    <w:rsid w:val="006322F0"/>
    <w:rsid w:val="006324CA"/>
    <w:rsid w:val="0064152C"/>
    <w:rsid w:val="00642E37"/>
    <w:rsid w:val="0064672B"/>
    <w:rsid w:val="006503C0"/>
    <w:rsid w:val="0065628C"/>
    <w:rsid w:val="00660501"/>
    <w:rsid w:val="00661694"/>
    <w:rsid w:val="00664239"/>
    <w:rsid w:val="00665823"/>
    <w:rsid w:val="006671F6"/>
    <w:rsid w:val="0066730D"/>
    <w:rsid w:val="00667A8B"/>
    <w:rsid w:val="00672D78"/>
    <w:rsid w:val="00673263"/>
    <w:rsid w:val="006740FC"/>
    <w:rsid w:val="00681A0D"/>
    <w:rsid w:val="00681C72"/>
    <w:rsid w:val="006868A7"/>
    <w:rsid w:val="006902BC"/>
    <w:rsid w:val="00694CDD"/>
    <w:rsid w:val="00696403"/>
    <w:rsid w:val="0069710C"/>
    <w:rsid w:val="006A104F"/>
    <w:rsid w:val="006A5B75"/>
    <w:rsid w:val="006B4515"/>
    <w:rsid w:val="006B644D"/>
    <w:rsid w:val="006C1838"/>
    <w:rsid w:val="006C602E"/>
    <w:rsid w:val="006C6C95"/>
    <w:rsid w:val="006D1FF9"/>
    <w:rsid w:val="006D27E6"/>
    <w:rsid w:val="006D4ADA"/>
    <w:rsid w:val="006D56C0"/>
    <w:rsid w:val="006D610B"/>
    <w:rsid w:val="006D6172"/>
    <w:rsid w:val="006D7B9D"/>
    <w:rsid w:val="006E2D7B"/>
    <w:rsid w:val="006E42DC"/>
    <w:rsid w:val="006E71A1"/>
    <w:rsid w:val="006F0401"/>
    <w:rsid w:val="006F22C1"/>
    <w:rsid w:val="006F4601"/>
    <w:rsid w:val="00703141"/>
    <w:rsid w:val="00703557"/>
    <w:rsid w:val="00704FC5"/>
    <w:rsid w:val="0070672B"/>
    <w:rsid w:val="007120E2"/>
    <w:rsid w:val="00720BAA"/>
    <w:rsid w:val="007225B7"/>
    <w:rsid w:val="00725449"/>
    <w:rsid w:val="007341E5"/>
    <w:rsid w:val="00735BA3"/>
    <w:rsid w:val="00736F1D"/>
    <w:rsid w:val="00740D87"/>
    <w:rsid w:val="00743091"/>
    <w:rsid w:val="00744EE7"/>
    <w:rsid w:val="00746B7B"/>
    <w:rsid w:val="00751975"/>
    <w:rsid w:val="00751EAB"/>
    <w:rsid w:val="00757B00"/>
    <w:rsid w:val="00763C29"/>
    <w:rsid w:val="007668E1"/>
    <w:rsid w:val="007677DB"/>
    <w:rsid w:val="00771350"/>
    <w:rsid w:val="00776AD7"/>
    <w:rsid w:val="007800B1"/>
    <w:rsid w:val="0078012E"/>
    <w:rsid w:val="00786F7B"/>
    <w:rsid w:val="0079275E"/>
    <w:rsid w:val="007942CF"/>
    <w:rsid w:val="007A0112"/>
    <w:rsid w:val="007A27A2"/>
    <w:rsid w:val="007A2810"/>
    <w:rsid w:val="007A77C8"/>
    <w:rsid w:val="007B483E"/>
    <w:rsid w:val="007B6812"/>
    <w:rsid w:val="007C14DD"/>
    <w:rsid w:val="007C18A2"/>
    <w:rsid w:val="007C4FA3"/>
    <w:rsid w:val="007C6813"/>
    <w:rsid w:val="007C6F69"/>
    <w:rsid w:val="007D39F6"/>
    <w:rsid w:val="007D41C6"/>
    <w:rsid w:val="007D58D4"/>
    <w:rsid w:val="007D7B4B"/>
    <w:rsid w:val="007F0BF7"/>
    <w:rsid w:val="007F13DD"/>
    <w:rsid w:val="007F21DE"/>
    <w:rsid w:val="007F246F"/>
    <w:rsid w:val="007F4C27"/>
    <w:rsid w:val="00801880"/>
    <w:rsid w:val="00802949"/>
    <w:rsid w:val="00806B66"/>
    <w:rsid w:val="0080714A"/>
    <w:rsid w:val="00807A53"/>
    <w:rsid w:val="0082055F"/>
    <w:rsid w:val="00821267"/>
    <w:rsid w:val="00823962"/>
    <w:rsid w:val="00823BE9"/>
    <w:rsid w:val="0082525C"/>
    <w:rsid w:val="00831130"/>
    <w:rsid w:val="00832700"/>
    <w:rsid w:val="008331B2"/>
    <w:rsid w:val="0083462E"/>
    <w:rsid w:val="00835141"/>
    <w:rsid w:val="008351E1"/>
    <w:rsid w:val="00835AEC"/>
    <w:rsid w:val="00835E34"/>
    <w:rsid w:val="00836F92"/>
    <w:rsid w:val="008409C3"/>
    <w:rsid w:val="0084221D"/>
    <w:rsid w:val="00843D11"/>
    <w:rsid w:val="00854448"/>
    <w:rsid w:val="00854498"/>
    <w:rsid w:val="0085656D"/>
    <w:rsid w:val="00856BC5"/>
    <w:rsid w:val="00857AC0"/>
    <w:rsid w:val="0086010C"/>
    <w:rsid w:val="00860533"/>
    <w:rsid w:val="008618B2"/>
    <w:rsid w:val="00862CCA"/>
    <w:rsid w:val="008640C5"/>
    <w:rsid w:val="0086410B"/>
    <w:rsid w:val="0086480A"/>
    <w:rsid w:val="00864F31"/>
    <w:rsid w:val="00870C75"/>
    <w:rsid w:val="0087477B"/>
    <w:rsid w:val="00880E60"/>
    <w:rsid w:val="00886349"/>
    <w:rsid w:val="00886E70"/>
    <w:rsid w:val="008930E6"/>
    <w:rsid w:val="00894767"/>
    <w:rsid w:val="0089612D"/>
    <w:rsid w:val="00897BAD"/>
    <w:rsid w:val="008A114E"/>
    <w:rsid w:val="008A2D71"/>
    <w:rsid w:val="008B1B4E"/>
    <w:rsid w:val="008C1CF1"/>
    <w:rsid w:val="008C29B0"/>
    <w:rsid w:val="008C40DC"/>
    <w:rsid w:val="008C55F5"/>
    <w:rsid w:val="008C79B5"/>
    <w:rsid w:val="008D002F"/>
    <w:rsid w:val="008D1920"/>
    <w:rsid w:val="008D303E"/>
    <w:rsid w:val="008D4275"/>
    <w:rsid w:val="008D669B"/>
    <w:rsid w:val="008E069B"/>
    <w:rsid w:val="008E2716"/>
    <w:rsid w:val="008E3EF3"/>
    <w:rsid w:val="008E5643"/>
    <w:rsid w:val="008E56E6"/>
    <w:rsid w:val="008E6A1E"/>
    <w:rsid w:val="008F27E5"/>
    <w:rsid w:val="008F353D"/>
    <w:rsid w:val="008F410E"/>
    <w:rsid w:val="008F42E1"/>
    <w:rsid w:val="008F7051"/>
    <w:rsid w:val="008F7969"/>
    <w:rsid w:val="009051E5"/>
    <w:rsid w:val="009074A5"/>
    <w:rsid w:val="0091185F"/>
    <w:rsid w:val="00911BE4"/>
    <w:rsid w:val="00912FBD"/>
    <w:rsid w:val="0091649D"/>
    <w:rsid w:val="009165AA"/>
    <w:rsid w:val="009178E4"/>
    <w:rsid w:val="00921C21"/>
    <w:rsid w:val="00922EE0"/>
    <w:rsid w:val="009241EE"/>
    <w:rsid w:val="009261C8"/>
    <w:rsid w:val="009265A0"/>
    <w:rsid w:val="00931174"/>
    <w:rsid w:val="009311D0"/>
    <w:rsid w:val="009350A5"/>
    <w:rsid w:val="00936136"/>
    <w:rsid w:val="0094114D"/>
    <w:rsid w:val="00941D72"/>
    <w:rsid w:val="009429E9"/>
    <w:rsid w:val="00951123"/>
    <w:rsid w:val="00954E4C"/>
    <w:rsid w:val="0095520C"/>
    <w:rsid w:val="00956FC8"/>
    <w:rsid w:val="00956FE2"/>
    <w:rsid w:val="0096042C"/>
    <w:rsid w:val="0096096E"/>
    <w:rsid w:val="00961117"/>
    <w:rsid w:val="00961B4A"/>
    <w:rsid w:val="00964D42"/>
    <w:rsid w:val="00972A3D"/>
    <w:rsid w:val="00973805"/>
    <w:rsid w:val="00975738"/>
    <w:rsid w:val="0097611D"/>
    <w:rsid w:val="00981291"/>
    <w:rsid w:val="009828BB"/>
    <w:rsid w:val="00982B0D"/>
    <w:rsid w:val="00992B1E"/>
    <w:rsid w:val="00995C0A"/>
    <w:rsid w:val="009962EA"/>
    <w:rsid w:val="009964AC"/>
    <w:rsid w:val="0099764D"/>
    <w:rsid w:val="009A0121"/>
    <w:rsid w:val="009A053B"/>
    <w:rsid w:val="009A55A5"/>
    <w:rsid w:val="009A5E66"/>
    <w:rsid w:val="009B3E6D"/>
    <w:rsid w:val="009B65DB"/>
    <w:rsid w:val="009C18C1"/>
    <w:rsid w:val="009C40E3"/>
    <w:rsid w:val="009D177C"/>
    <w:rsid w:val="009D5265"/>
    <w:rsid w:val="009D79D3"/>
    <w:rsid w:val="009E21EE"/>
    <w:rsid w:val="009E2970"/>
    <w:rsid w:val="009E4114"/>
    <w:rsid w:val="009E483C"/>
    <w:rsid w:val="009E58A1"/>
    <w:rsid w:val="009F021E"/>
    <w:rsid w:val="009F303C"/>
    <w:rsid w:val="009F4425"/>
    <w:rsid w:val="009F4AB2"/>
    <w:rsid w:val="009F5B41"/>
    <w:rsid w:val="009F6A11"/>
    <w:rsid w:val="009F781F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B72"/>
    <w:rsid w:val="00A23F33"/>
    <w:rsid w:val="00A26918"/>
    <w:rsid w:val="00A30802"/>
    <w:rsid w:val="00A30804"/>
    <w:rsid w:val="00A324DC"/>
    <w:rsid w:val="00A326B2"/>
    <w:rsid w:val="00A32D90"/>
    <w:rsid w:val="00A3315B"/>
    <w:rsid w:val="00A350AB"/>
    <w:rsid w:val="00A37DF3"/>
    <w:rsid w:val="00A37FB6"/>
    <w:rsid w:val="00A4175C"/>
    <w:rsid w:val="00A4186B"/>
    <w:rsid w:val="00A41909"/>
    <w:rsid w:val="00A46F45"/>
    <w:rsid w:val="00A476E8"/>
    <w:rsid w:val="00A47A68"/>
    <w:rsid w:val="00A5400B"/>
    <w:rsid w:val="00A542B7"/>
    <w:rsid w:val="00A55E66"/>
    <w:rsid w:val="00A56179"/>
    <w:rsid w:val="00A658F6"/>
    <w:rsid w:val="00A66044"/>
    <w:rsid w:val="00A67324"/>
    <w:rsid w:val="00A70007"/>
    <w:rsid w:val="00A73672"/>
    <w:rsid w:val="00A77673"/>
    <w:rsid w:val="00A778F1"/>
    <w:rsid w:val="00A82277"/>
    <w:rsid w:val="00A82785"/>
    <w:rsid w:val="00A84477"/>
    <w:rsid w:val="00A8521C"/>
    <w:rsid w:val="00A866E2"/>
    <w:rsid w:val="00A93AE7"/>
    <w:rsid w:val="00A93DE8"/>
    <w:rsid w:val="00A94092"/>
    <w:rsid w:val="00AA1384"/>
    <w:rsid w:val="00AA5CF3"/>
    <w:rsid w:val="00AB2670"/>
    <w:rsid w:val="00AB3866"/>
    <w:rsid w:val="00AB3FFC"/>
    <w:rsid w:val="00AC4264"/>
    <w:rsid w:val="00AC51C3"/>
    <w:rsid w:val="00AD049A"/>
    <w:rsid w:val="00AD15A6"/>
    <w:rsid w:val="00AD459A"/>
    <w:rsid w:val="00AD5D87"/>
    <w:rsid w:val="00AD788D"/>
    <w:rsid w:val="00AE3F41"/>
    <w:rsid w:val="00AE4042"/>
    <w:rsid w:val="00AF3312"/>
    <w:rsid w:val="00AF3591"/>
    <w:rsid w:val="00B000CD"/>
    <w:rsid w:val="00B0374E"/>
    <w:rsid w:val="00B04376"/>
    <w:rsid w:val="00B05D0B"/>
    <w:rsid w:val="00B121F8"/>
    <w:rsid w:val="00B21109"/>
    <w:rsid w:val="00B250FA"/>
    <w:rsid w:val="00B2539D"/>
    <w:rsid w:val="00B27986"/>
    <w:rsid w:val="00B3047E"/>
    <w:rsid w:val="00B312B9"/>
    <w:rsid w:val="00B35721"/>
    <w:rsid w:val="00B3578B"/>
    <w:rsid w:val="00B37DFD"/>
    <w:rsid w:val="00B43F6B"/>
    <w:rsid w:val="00B46B35"/>
    <w:rsid w:val="00B46DBB"/>
    <w:rsid w:val="00B51850"/>
    <w:rsid w:val="00B563B1"/>
    <w:rsid w:val="00B63C7D"/>
    <w:rsid w:val="00B64C19"/>
    <w:rsid w:val="00B71741"/>
    <w:rsid w:val="00B722A5"/>
    <w:rsid w:val="00B73188"/>
    <w:rsid w:val="00B75AFB"/>
    <w:rsid w:val="00B7671C"/>
    <w:rsid w:val="00B779C7"/>
    <w:rsid w:val="00B857F0"/>
    <w:rsid w:val="00B868D8"/>
    <w:rsid w:val="00B90C4B"/>
    <w:rsid w:val="00B922A1"/>
    <w:rsid w:val="00B9633E"/>
    <w:rsid w:val="00BA0A54"/>
    <w:rsid w:val="00BA1301"/>
    <w:rsid w:val="00BA34D4"/>
    <w:rsid w:val="00BA376B"/>
    <w:rsid w:val="00BA3CA1"/>
    <w:rsid w:val="00BA69A3"/>
    <w:rsid w:val="00BA69E1"/>
    <w:rsid w:val="00BA7DC6"/>
    <w:rsid w:val="00BB280D"/>
    <w:rsid w:val="00BB6C1F"/>
    <w:rsid w:val="00BB6E73"/>
    <w:rsid w:val="00BB7BBA"/>
    <w:rsid w:val="00BC28D5"/>
    <w:rsid w:val="00BC45D8"/>
    <w:rsid w:val="00BC602F"/>
    <w:rsid w:val="00BD3706"/>
    <w:rsid w:val="00BD3E84"/>
    <w:rsid w:val="00BD54CF"/>
    <w:rsid w:val="00BE1B38"/>
    <w:rsid w:val="00BE4FB6"/>
    <w:rsid w:val="00BE755E"/>
    <w:rsid w:val="00BF17A3"/>
    <w:rsid w:val="00BF181E"/>
    <w:rsid w:val="00BF25CB"/>
    <w:rsid w:val="00BF6BA2"/>
    <w:rsid w:val="00BF7A1E"/>
    <w:rsid w:val="00C04A8C"/>
    <w:rsid w:val="00C06A2E"/>
    <w:rsid w:val="00C10F6C"/>
    <w:rsid w:val="00C1514B"/>
    <w:rsid w:val="00C2714F"/>
    <w:rsid w:val="00C309B2"/>
    <w:rsid w:val="00C34307"/>
    <w:rsid w:val="00C40B9D"/>
    <w:rsid w:val="00C43638"/>
    <w:rsid w:val="00C47CD0"/>
    <w:rsid w:val="00C5070A"/>
    <w:rsid w:val="00C5419D"/>
    <w:rsid w:val="00C543A1"/>
    <w:rsid w:val="00C569B0"/>
    <w:rsid w:val="00C61D29"/>
    <w:rsid w:val="00C71537"/>
    <w:rsid w:val="00C7298D"/>
    <w:rsid w:val="00C7490E"/>
    <w:rsid w:val="00C75DBF"/>
    <w:rsid w:val="00C7692F"/>
    <w:rsid w:val="00C833FC"/>
    <w:rsid w:val="00C878CC"/>
    <w:rsid w:val="00C90013"/>
    <w:rsid w:val="00C92928"/>
    <w:rsid w:val="00C92E90"/>
    <w:rsid w:val="00C943B4"/>
    <w:rsid w:val="00C94C3C"/>
    <w:rsid w:val="00C963D4"/>
    <w:rsid w:val="00CA154F"/>
    <w:rsid w:val="00CA47D9"/>
    <w:rsid w:val="00CA66C1"/>
    <w:rsid w:val="00CA76AF"/>
    <w:rsid w:val="00CA76E6"/>
    <w:rsid w:val="00CA7C2D"/>
    <w:rsid w:val="00CB18AB"/>
    <w:rsid w:val="00CB1B9E"/>
    <w:rsid w:val="00CC50C8"/>
    <w:rsid w:val="00CD30E3"/>
    <w:rsid w:val="00CD5727"/>
    <w:rsid w:val="00CE31DE"/>
    <w:rsid w:val="00CE736E"/>
    <w:rsid w:val="00CF14EF"/>
    <w:rsid w:val="00CF1577"/>
    <w:rsid w:val="00CF48B5"/>
    <w:rsid w:val="00CF7558"/>
    <w:rsid w:val="00CF7737"/>
    <w:rsid w:val="00D033AA"/>
    <w:rsid w:val="00D05269"/>
    <w:rsid w:val="00D15BC4"/>
    <w:rsid w:val="00D20920"/>
    <w:rsid w:val="00D20FA1"/>
    <w:rsid w:val="00D22318"/>
    <w:rsid w:val="00D23BF3"/>
    <w:rsid w:val="00D2466E"/>
    <w:rsid w:val="00D27EBB"/>
    <w:rsid w:val="00D3199B"/>
    <w:rsid w:val="00D3363A"/>
    <w:rsid w:val="00D347F2"/>
    <w:rsid w:val="00D34FFF"/>
    <w:rsid w:val="00D357F3"/>
    <w:rsid w:val="00D4055A"/>
    <w:rsid w:val="00D434AA"/>
    <w:rsid w:val="00D43D54"/>
    <w:rsid w:val="00D44A22"/>
    <w:rsid w:val="00D44C64"/>
    <w:rsid w:val="00D44C8D"/>
    <w:rsid w:val="00D45B3E"/>
    <w:rsid w:val="00D468AA"/>
    <w:rsid w:val="00D46B9F"/>
    <w:rsid w:val="00D51A17"/>
    <w:rsid w:val="00D53C8B"/>
    <w:rsid w:val="00D57423"/>
    <w:rsid w:val="00D57C7F"/>
    <w:rsid w:val="00D57F01"/>
    <w:rsid w:val="00D60F14"/>
    <w:rsid w:val="00D64DF9"/>
    <w:rsid w:val="00D71A33"/>
    <w:rsid w:val="00D82006"/>
    <w:rsid w:val="00D82864"/>
    <w:rsid w:val="00D82B9D"/>
    <w:rsid w:val="00D84095"/>
    <w:rsid w:val="00D908D7"/>
    <w:rsid w:val="00D9091B"/>
    <w:rsid w:val="00D93AD2"/>
    <w:rsid w:val="00D96163"/>
    <w:rsid w:val="00D962FC"/>
    <w:rsid w:val="00D96C9F"/>
    <w:rsid w:val="00D978BD"/>
    <w:rsid w:val="00DA2D40"/>
    <w:rsid w:val="00DA4896"/>
    <w:rsid w:val="00DA6196"/>
    <w:rsid w:val="00DB22A0"/>
    <w:rsid w:val="00DB3EEB"/>
    <w:rsid w:val="00DB4F2F"/>
    <w:rsid w:val="00DB74FC"/>
    <w:rsid w:val="00DC0D5F"/>
    <w:rsid w:val="00DC344B"/>
    <w:rsid w:val="00DC41A5"/>
    <w:rsid w:val="00DC5B91"/>
    <w:rsid w:val="00DC7B18"/>
    <w:rsid w:val="00DD0783"/>
    <w:rsid w:val="00DD09FB"/>
    <w:rsid w:val="00DD5F4B"/>
    <w:rsid w:val="00DE269E"/>
    <w:rsid w:val="00DE37BD"/>
    <w:rsid w:val="00DE4173"/>
    <w:rsid w:val="00DE67FD"/>
    <w:rsid w:val="00DE6FD6"/>
    <w:rsid w:val="00E0122E"/>
    <w:rsid w:val="00E02169"/>
    <w:rsid w:val="00E02300"/>
    <w:rsid w:val="00E06B87"/>
    <w:rsid w:val="00E073CD"/>
    <w:rsid w:val="00E11787"/>
    <w:rsid w:val="00E16F00"/>
    <w:rsid w:val="00E17D76"/>
    <w:rsid w:val="00E2040C"/>
    <w:rsid w:val="00E20765"/>
    <w:rsid w:val="00E234B5"/>
    <w:rsid w:val="00E27863"/>
    <w:rsid w:val="00E27978"/>
    <w:rsid w:val="00E32EED"/>
    <w:rsid w:val="00E35143"/>
    <w:rsid w:val="00E36E16"/>
    <w:rsid w:val="00E41533"/>
    <w:rsid w:val="00E45E07"/>
    <w:rsid w:val="00E53502"/>
    <w:rsid w:val="00E64BE0"/>
    <w:rsid w:val="00E669C7"/>
    <w:rsid w:val="00E70DF4"/>
    <w:rsid w:val="00E71366"/>
    <w:rsid w:val="00E7191F"/>
    <w:rsid w:val="00E71C56"/>
    <w:rsid w:val="00E727BD"/>
    <w:rsid w:val="00E74430"/>
    <w:rsid w:val="00E7606F"/>
    <w:rsid w:val="00E76550"/>
    <w:rsid w:val="00E828B9"/>
    <w:rsid w:val="00E8327F"/>
    <w:rsid w:val="00E90646"/>
    <w:rsid w:val="00E91B98"/>
    <w:rsid w:val="00E967B2"/>
    <w:rsid w:val="00E96BDE"/>
    <w:rsid w:val="00EA19D0"/>
    <w:rsid w:val="00EA234A"/>
    <w:rsid w:val="00EA3566"/>
    <w:rsid w:val="00EA3A7A"/>
    <w:rsid w:val="00EB09C6"/>
    <w:rsid w:val="00EB1E54"/>
    <w:rsid w:val="00EC2BAC"/>
    <w:rsid w:val="00EC3A76"/>
    <w:rsid w:val="00EC68AE"/>
    <w:rsid w:val="00ED3D80"/>
    <w:rsid w:val="00ED4A1C"/>
    <w:rsid w:val="00ED53F6"/>
    <w:rsid w:val="00ED70DA"/>
    <w:rsid w:val="00ED7D28"/>
    <w:rsid w:val="00EE0968"/>
    <w:rsid w:val="00EE25F0"/>
    <w:rsid w:val="00EE2FD1"/>
    <w:rsid w:val="00EE3248"/>
    <w:rsid w:val="00EE4FE6"/>
    <w:rsid w:val="00EF14EA"/>
    <w:rsid w:val="00EF1FDC"/>
    <w:rsid w:val="00EF2232"/>
    <w:rsid w:val="00EF3887"/>
    <w:rsid w:val="00EF4269"/>
    <w:rsid w:val="00EF5114"/>
    <w:rsid w:val="00F02060"/>
    <w:rsid w:val="00F022FE"/>
    <w:rsid w:val="00F03D71"/>
    <w:rsid w:val="00F13ECD"/>
    <w:rsid w:val="00F147DD"/>
    <w:rsid w:val="00F15451"/>
    <w:rsid w:val="00F16917"/>
    <w:rsid w:val="00F1776C"/>
    <w:rsid w:val="00F2036F"/>
    <w:rsid w:val="00F23901"/>
    <w:rsid w:val="00F24B7C"/>
    <w:rsid w:val="00F24C51"/>
    <w:rsid w:val="00F35FEC"/>
    <w:rsid w:val="00F4304F"/>
    <w:rsid w:val="00F44488"/>
    <w:rsid w:val="00F54AF1"/>
    <w:rsid w:val="00F550BE"/>
    <w:rsid w:val="00F55FA8"/>
    <w:rsid w:val="00F64A55"/>
    <w:rsid w:val="00F65196"/>
    <w:rsid w:val="00F67081"/>
    <w:rsid w:val="00F709E4"/>
    <w:rsid w:val="00F739EA"/>
    <w:rsid w:val="00F73E38"/>
    <w:rsid w:val="00F766F3"/>
    <w:rsid w:val="00F8144F"/>
    <w:rsid w:val="00F8165C"/>
    <w:rsid w:val="00F8764D"/>
    <w:rsid w:val="00F87A53"/>
    <w:rsid w:val="00F932E2"/>
    <w:rsid w:val="00F965DA"/>
    <w:rsid w:val="00F96969"/>
    <w:rsid w:val="00FA2DCA"/>
    <w:rsid w:val="00FA3C79"/>
    <w:rsid w:val="00FA65C9"/>
    <w:rsid w:val="00FA6BCC"/>
    <w:rsid w:val="00FB59C0"/>
    <w:rsid w:val="00FB624B"/>
    <w:rsid w:val="00FC0A69"/>
    <w:rsid w:val="00FC247E"/>
    <w:rsid w:val="00FC3DFA"/>
    <w:rsid w:val="00FC4BFD"/>
    <w:rsid w:val="00FD33F6"/>
    <w:rsid w:val="00FD3786"/>
    <w:rsid w:val="00FD76DE"/>
    <w:rsid w:val="00FD7775"/>
    <w:rsid w:val="00FE17BC"/>
    <w:rsid w:val="00FE685B"/>
    <w:rsid w:val="00FE7E26"/>
    <w:rsid w:val="00FF172A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DD836-F872-4943-A60B-5EABB025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  <w:style w:type="table" w:styleId="Tabela-Siatka">
    <w:name w:val="Table Grid"/>
    <w:basedOn w:val="Standardowy"/>
    <w:uiPriority w:val="59"/>
    <w:rsid w:val="00526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A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A92E-EFB7-4CD2-B5FF-20FA6DA8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9673</Words>
  <Characters>58042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Agnieszka Fedyk</cp:lastModifiedBy>
  <cp:revision>5</cp:revision>
  <cp:lastPrinted>2020-03-13T08:23:00Z</cp:lastPrinted>
  <dcterms:created xsi:type="dcterms:W3CDTF">2020-05-14T14:25:00Z</dcterms:created>
  <dcterms:modified xsi:type="dcterms:W3CDTF">2020-06-30T12:08:00Z</dcterms:modified>
</cp:coreProperties>
</file>