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C56" w:rsidRPr="00F02218" w:rsidRDefault="009D3C56" w:rsidP="007650AC">
      <w:pPr>
        <w:autoSpaceDE w:val="0"/>
        <w:autoSpaceDN w:val="0"/>
        <w:adjustRightInd w:val="0"/>
        <w:spacing w:line="240" w:lineRule="auto"/>
        <w:jc w:val="center"/>
        <w:rPr>
          <w:b/>
          <w:sz w:val="24"/>
          <w:szCs w:val="24"/>
        </w:rPr>
      </w:pPr>
      <w:bookmarkStart w:id="0" w:name="_Toc426632922"/>
      <w:bookmarkStart w:id="1" w:name="_Toc430826826"/>
      <w:bookmarkStart w:id="2" w:name="_Toc432758974"/>
      <w:bookmarkStart w:id="3" w:name="_GoBack"/>
      <w:bookmarkEnd w:id="3"/>
      <w:r w:rsidRPr="00F02218">
        <w:rPr>
          <w:rFonts w:ascii="Calibri" w:hAnsi="Calibri" w:cs="Calibri"/>
          <w:b/>
          <w:color w:val="000000"/>
          <w:sz w:val="24"/>
          <w:szCs w:val="24"/>
        </w:rPr>
        <w:t xml:space="preserve">Lista wskaźników na poziomie projektu dla </w:t>
      </w:r>
      <w:r w:rsidR="00476947">
        <w:rPr>
          <w:rFonts w:ascii="Calibri" w:hAnsi="Calibri" w:cs="Calibri"/>
          <w:b/>
          <w:color w:val="000000"/>
          <w:sz w:val="24"/>
          <w:szCs w:val="24"/>
        </w:rPr>
        <w:t>pod</w:t>
      </w:r>
      <w:r w:rsidRPr="00F02218">
        <w:rPr>
          <w:rFonts w:ascii="Calibri" w:hAnsi="Calibri" w:cs="Calibri"/>
          <w:b/>
          <w:color w:val="000000"/>
          <w:sz w:val="24"/>
          <w:szCs w:val="24"/>
        </w:rPr>
        <w:t xml:space="preserve">działania </w:t>
      </w:r>
      <w:r w:rsidR="009449EE" w:rsidRPr="009449EE">
        <w:rPr>
          <w:rFonts w:ascii="Calibri" w:hAnsi="Calibri" w:cs="Calibri"/>
          <w:b/>
          <w:color w:val="000000"/>
          <w:sz w:val="24"/>
          <w:szCs w:val="24"/>
        </w:rPr>
        <w:t>7.1.</w:t>
      </w:r>
      <w:r w:rsidR="00A318E7">
        <w:rPr>
          <w:rFonts w:ascii="Calibri" w:hAnsi="Calibri" w:cs="Calibri"/>
          <w:b/>
          <w:color w:val="000000"/>
          <w:sz w:val="24"/>
          <w:szCs w:val="24"/>
        </w:rPr>
        <w:t>3</w:t>
      </w:r>
      <w:r w:rsidR="009449EE" w:rsidRPr="009449EE">
        <w:rPr>
          <w:rFonts w:ascii="Calibri" w:hAnsi="Calibri" w:cs="Calibri"/>
          <w:b/>
          <w:color w:val="000000"/>
          <w:sz w:val="24"/>
          <w:szCs w:val="24"/>
        </w:rPr>
        <w:t xml:space="preserve"> Inwestycje w edukację przedszkolną, podstawową i gimnazjalną</w:t>
      </w:r>
      <w:r w:rsidR="009449EE">
        <w:rPr>
          <w:rFonts w:ascii="Calibri" w:hAnsi="Calibri" w:cs="Calibri"/>
          <w:b/>
          <w:color w:val="000000"/>
          <w:sz w:val="24"/>
          <w:szCs w:val="24"/>
        </w:rPr>
        <w:t xml:space="preserve"> </w:t>
      </w:r>
      <w:r w:rsidRPr="00F02218">
        <w:rPr>
          <w:rFonts w:ascii="Calibri" w:hAnsi="Calibri" w:cs="Calibri"/>
          <w:b/>
          <w:color w:val="000000"/>
          <w:sz w:val="24"/>
          <w:szCs w:val="24"/>
        </w:rPr>
        <w:t>RPO WD 2014-2020.</w:t>
      </w:r>
    </w:p>
    <w:p w:rsidR="00CF69D1" w:rsidRDefault="00CF69D1" w:rsidP="007650AC">
      <w:pPr>
        <w:autoSpaceDE w:val="0"/>
        <w:autoSpaceDN w:val="0"/>
        <w:spacing w:before="120" w:after="120" w:line="240" w:lineRule="auto"/>
        <w:jc w:val="both"/>
        <w:rPr>
          <w:rFonts w:asciiTheme="minorHAnsi" w:eastAsiaTheme="minorHAnsi" w:hAnsiTheme="minorHAnsi" w:cs="Calibri"/>
          <w:szCs w:val="22"/>
          <w:lang w:eastAsia="en-US"/>
        </w:rPr>
      </w:pPr>
    </w:p>
    <w:p w:rsidR="005657D8" w:rsidRDefault="005657D8" w:rsidP="007650AC">
      <w:pPr>
        <w:autoSpaceDE w:val="0"/>
        <w:autoSpaceDN w:val="0"/>
        <w:spacing w:before="120" w:after="120" w:line="240" w:lineRule="auto"/>
        <w:jc w:val="both"/>
        <w:rPr>
          <w:rFonts w:asciiTheme="minorHAnsi" w:eastAsiaTheme="minorHAnsi" w:hAnsiTheme="minorHAnsi" w:cs="Calibri"/>
          <w:szCs w:val="22"/>
          <w:lang w:eastAsia="en-US"/>
        </w:rPr>
      </w:pPr>
      <w:r w:rsidRPr="00911273">
        <w:rPr>
          <w:rFonts w:asciiTheme="minorHAnsi" w:eastAsiaTheme="minorHAnsi" w:hAnsiTheme="minorHAnsi" w:cs="Calibri"/>
          <w:szCs w:val="22"/>
          <w:lang w:eastAsia="en-US"/>
        </w:rPr>
        <w:t>Główną funkcją wskaźników jest zmierzenie, na ile cel główny projektu zostały zrealizowany</w:t>
      </w:r>
      <w:r>
        <w:rPr>
          <w:rFonts w:asciiTheme="minorHAnsi" w:eastAsiaTheme="minorHAnsi" w:hAnsiTheme="minorHAnsi" w:cs="Calibri"/>
          <w:szCs w:val="22"/>
          <w:lang w:eastAsia="en-US"/>
        </w:rPr>
        <w:t xml:space="preserve">. Wskaźniki służą ilościowej prezentacji działań podjętych w ramach projektu i ich rezultatów. </w:t>
      </w:r>
      <w:r w:rsidRPr="00911273">
        <w:rPr>
          <w:rFonts w:asciiTheme="minorHAnsi" w:eastAsiaTheme="minorHAnsi" w:hAnsiTheme="minorHAnsi" w:cs="Calibri"/>
          <w:szCs w:val="22"/>
          <w:lang w:eastAsia="en-US"/>
        </w:rPr>
        <w:t xml:space="preserve"> W trakcie realizacji projektu wskaźniki powinny umożliwiać mierzenie jego postępu względem celów projektu. </w:t>
      </w:r>
    </w:p>
    <w:p w:rsidR="005657D8" w:rsidRDefault="005657D8" w:rsidP="007650AC">
      <w:pPr>
        <w:autoSpaceDE w:val="0"/>
        <w:autoSpaceDN w:val="0"/>
        <w:spacing w:before="120" w:after="120" w:line="240" w:lineRule="auto"/>
        <w:jc w:val="both"/>
        <w:rPr>
          <w:rFonts w:asciiTheme="minorHAnsi" w:hAnsiTheme="minorHAnsi"/>
          <w:szCs w:val="22"/>
        </w:rPr>
      </w:pPr>
      <w:r w:rsidRPr="00911273">
        <w:rPr>
          <w:rFonts w:asciiTheme="minorHAnsi" w:eastAsiaTheme="minorHAnsi" w:hAnsiTheme="minorHAnsi" w:cs="Calibri"/>
          <w:szCs w:val="22"/>
          <w:lang w:eastAsia="en-US"/>
        </w:rPr>
        <w:t xml:space="preserve">Wybór wskaźników projektu powinien być powiązany z typem realizowanego przedsięwzięcia </w:t>
      </w:r>
      <w:r>
        <w:rPr>
          <w:rFonts w:asciiTheme="minorHAnsi" w:eastAsiaTheme="minorHAnsi" w:hAnsiTheme="minorHAnsi" w:cs="Calibri"/>
          <w:szCs w:val="22"/>
          <w:lang w:eastAsia="en-US"/>
        </w:rPr>
        <w:br/>
      </w:r>
      <w:r w:rsidRPr="00911273">
        <w:rPr>
          <w:rFonts w:asciiTheme="minorHAnsi" w:eastAsiaTheme="minorHAnsi" w:hAnsiTheme="minorHAnsi" w:cs="Calibri"/>
          <w:szCs w:val="22"/>
          <w:lang w:eastAsia="en-US"/>
        </w:rPr>
        <w:t xml:space="preserve">i planowanymi działaniami, które </w:t>
      </w:r>
      <w:r w:rsidR="008E3F0D">
        <w:rPr>
          <w:rFonts w:asciiTheme="minorHAnsi" w:eastAsiaTheme="minorHAnsi" w:hAnsiTheme="minorHAnsi" w:cs="Calibri"/>
          <w:szCs w:val="22"/>
          <w:lang w:eastAsia="en-US"/>
        </w:rPr>
        <w:t>Wnioskodawca</w:t>
      </w:r>
      <w:r w:rsidRPr="00911273">
        <w:rPr>
          <w:rFonts w:asciiTheme="minorHAnsi" w:eastAsiaTheme="minorHAnsi" w:hAnsiTheme="minorHAnsi" w:cs="Calibri"/>
          <w:szCs w:val="22"/>
          <w:lang w:eastAsia="en-US"/>
        </w:rPr>
        <w:t xml:space="preserve"> zamierza podjąć w ramach projektu. </w:t>
      </w:r>
      <w:r w:rsidRPr="00911273">
        <w:rPr>
          <w:rFonts w:asciiTheme="minorHAnsi" w:eastAsiaTheme="minorHAnsi" w:hAnsiTheme="minorHAnsi" w:cs="Calibri"/>
          <w:bCs/>
          <w:szCs w:val="22"/>
          <w:lang w:eastAsia="en-US"/>
        </w:rPr>
        <w:t xml:space="preserve">Do celu głównego projektu </w:t>
      </w:r>
      <w:r w:rsidR="008E3F0D">
        <w:rPr>
          <w:rFonts w:asciiTheme="minorHAnsi" w:eastAsiaTheme="minorHAnsi" w:hAnsiTheme="minorHAnsi" w:cs="Calibri"/>
          <w:bCs/>
          <w:szCs w:val="22"/>
          <w:lang w:eastAsia="en-US"/>
        </w:rPr>
        <w:t>Wnioskodawca</w:t>
      </w:r>
      <w:r w:rsidRPr="00911273">
        <w:rPr>
          <w:rFonts w:asciiTheme="minorHAnsi" w:eastAsiaTheme="minorHAnsi" w:hAnsiTheme="minorHAnsi" w:cs="Calibri"/>
          <w:bCs/>
          <w:szCs w:val="22"/>
          <w:lang w:eastAsia="en-US"/>
        </w:rPr>
        <w:t xml:space="preserve"> powinien dobrać odpowiednie wskaźniki, produktu i rezultatu</w:t>
      </w:r>
      <w:r w:rsidRPr="00911273">
        <w:rPr>
          <w:rFonts w:asciiTheme="minorHAnsi" w:eastAsiaTheme="minorHAnsi" w:hAnsiTheme="minorHAnsi" w:cs="Calibri"/>
          <w:szCs w:val="22"/>
          <w:lang w:eastAsia="en-US"/>
        </w:rPr>
        <w:t xml:space="preserve"> bezpośredniego</w:t>
      </w:r>
      <w:r>
        <w:rPr>
          <w:rFonts w:asciiTheme="minorHAnsi" w:eastAsiaTheme="minorHAnsi" w:hAnsiTheme="minorHAnsi" w:cs="Calibri"/>
          <w:szCs w:val="22"/>
          <w:lang w:eastAsia="en-US"/>
        </w:rPr>
        <w:t>. Muszą być logicznie powiązane z projektem i spójne</w:t>
      </w:r>
      <w:r w:rsidR="008E3F0D">
        <w:rPr>
          <w:rFonts w:asciiTheme="minorHAnsi" w:eastAsiaTheme="minorHAnsi" w:hAnsiTheme="minorHAnsi" w:cs="Calibri"/>
          <w:szCs w:val="22"/>
          <w:lang w:eastAsia="en-US"/>
        </w:rPr>
        <w:t>.</w:t>
      </w:r>
      <w:r w:rsidRPr="00911273">
        <w:rPr>
          <w:rFonts w:asciiTheme="minorHAnsi" w:eastAsiaTheme="minorHAnsi" w:hAnsiTheme="minorHAnsi" w:cs="Calibri"/>
          <w:szCs w:val="22"/>
          <w:lang w:eastAsia="en-US"/>
        </w:rPr>
        <w:t xml:space="preserve"> </w:t>
      </w:r>
    </w:p>
    <w:p w:rsidR="00620A45" w:rsidRPr="00911273" w:rsidRDefault="00620A45" w:rsidP="007650AC">
      <w:pPr>
        <w:autoSpaceDE w:val="0"/>
        <w:autoSpaceDN w:val="0"/>
        <w:spacing w:before="120" w:after="120" w:line="240" w:lineRule="auto"/>
        <w:jc w:val="both"/>
        <w:rPr>
          <w:rFonts w:asciiTheme="minorHAnsi" w:eastAsiaTheme="minorHAnsi" w:hAnsiTheme="minorHAnsi" w:cs="Calibri"/>
          <w:szCs w:val="22"/>
          <w:lang w:eastAsia="en-US"/>
        </w:rPr>
      </w:pPr>
      <w:r>
        <w:rPr>
          <w:rFonts w:asciiTheme="minorHAnsi" w:hAnsiTheme="minorHAnsi"/>
          <w:szCs w:val="22"/>
        </w:rPr>
        <w:t>Każdy ze wskaźników powinien posiadać następujące cechy:</w:t>
      </w:r>
    </w:p>
    <w:p w:rsidR="00620A45" w:rsidRDefault="00620A45" w:rsidP="007650AC">
      <w:pPr>
        <w:numPr>
          <w:ilvl w:val="0"/>
          <w:numId w:val="3"/>
        </w:numPr>
        <w:autoSpaceDE w:val="0"/>
        <w:autoSpaceDN w:val="0"/>
        <w:spacing w:before="0" w:line="240" w:lineRule="auto"/>
        <w:ind w:left="714" w:hanging="357"/>
        <w:jc w:val="both"/>
        <w:rPr>
          <w:rFonts w:asciiTheme="minorHAnsi" w:hAnsiTheme="minorHAnsi"/>
          <w:szCs w:val="22"/>
        </w:rPr>
      </w:pPr>
      <w:r>
        <w:rPr>
          <w:rFonts w:asciiTheme="minorHAnsi" w:hAnsiTheme="minorHAnsi"/>
          <w:szCs w:val="22"/>
        </w:rPr>
        <w:t>adekwatność – wskaźnik powinien być dostosowany do charakteru projektu oraz oczekiwanych efektów związanych z jego realizacją;</w:t>
      </w:r>
    </w:p>
    <w:p w:rsidR="00620A45" w:rsidRDefault="00620A45" w:rsidP="007650AC">
      <w:pPr>
        <w:numPr>
          <w:ilvl w:val="0"/>
          <w:numId w:val="3"/>
        </w:numPr>
        <w:autoSpaceDE w:val="0"/>
        <w:autoSpaceDN w:val="0"/>
        <w:spacing w:before="0" w:line="240" w:lineRule="auto"/>
        <w:ind w:left="714" w:hanging="357"/>
        <w:jc w:val="both"/>
        <w:rPr>
          <w:rFonts w:asciiTheme="minorHAnsi" w:hAnsiTheme="minorHAnsi"/>
          <w:szCs w:val="22"/>
        </w:rPr>
      </w:pPr>
      <w:r>
        <w:rPr>
          <w:rFonts w:asciiTheme="minorHAnsi" w:hAnsiTheme="minorHAnsi"/>
          <w:szCs w:val="22"/>
        </w:rPr>
        <w:t>mierzalność – wskaźnik powinien być kwantyfikowalny, tj. wyrażony w wartościach liczbowych</w:t>
      </w:r>
      <w:r w:rsidR="008E3F0D">
        <w:rPr>
          <w:rFonts w:asciiTheme="minorHAnsi" w:hAnsiTheme="minorHAnsi"/>
          <w:szCs w:val="22"/>
        </w:rPr>
        <w:t xml:space="preserve"> bądź finansowych</w:t>
      </w:r>
      <w:r>
        <w:rPr>
          <w:rFonts w:asciiTheme="minorHAnsi" w:hAnsiTheme="minorHAnsi"/>
          <w:szCs w:val="22"/>
        </w:rPr>
        <w:t>;</w:t>
      </w:r>
    </w:p>
    <w:p w:rsidR="00620A45" w:rsidRDefault="00620A45" w:rsidP="007650AC">
      <w:pPr>
        <w:numPr>
          <w:ilvl w:val="0"/>
          <w:numId w:val="3"/>
        </w:numPr>
        <w:autoSpaceDE w:val="0"/>
        <w:autoSpaceDN w:val="0"/>
        <w:spacing w:before="0" w:line="240" w:lineRule="auto"/>
        <w:ind w:left="714" w:hanging="357"/>
        <w:jc w:val="both"/>
        <w:rPr>
          <w:rFonts w:asciiTheme="minorHAnsi" w:hAnsiTheme="minorHAnsi"/>
          <w:szCs w:val="22"/>
        </w:rPr>
      </w:pPr>
      <w:r>
        <w:rPr>
          <w:rFonts w:asciiTheme="minorHAnsi" w:hAnsiTheme="minorHAnsi"/>
          <w:szCs w:val="22"/>
        </w:rPr>
        <w:t>wiarygodność – wskaźnik powinien być zdefiniowany w taki sposób, aby jego weryfikacja nie powodowała utrudnień;</w:t>
      </w:r>
    </w:p>
    <w:p w:rsidR="00620A45" w:rsidRDefault="00620A45" w:rsidP="007650AC">
      <w:pPr>
        <w:numPr>
          <w:ilvl w:val="0"/>
          <w:numId w:val="3"/>
        </w:numPr>
        <w:autoSpaceDE w:val="0"/>
        <w:autoSpaceDN w:val="0"/>
        <w:spacing w:before="0" w:line="240" w:lineRule="auto"/>
        <w:ind w:left="714" w:hanging="357"/>
        <w:jc w:val="both"/>
        <w:rPr>
          <w:rFonts w:asciiTheme="minorHAnsi" w:hAnsiTheme="minorHAnsi"/>
          <w:szCs w:val="22"/>
        </w:rPr>
      </w:pPr>
      <w:r>
        <w:rPr>
          <w:rFonts w:asciiTheme="minorHAnsi" w:hAnsiTheme="minorHAnsi"/>
          <w:szCs w:val="22"/>
        </w:rPr>
        <w:t>dostępność – wskaźnik powinien być łatwy do określenia w wyniku realizacji projektu;</w:t>
      </w:r>
    </w:p>
    <w:p w:rsidR="00620A45" w:rsidRDefault="00620A45" w:rsidP="007650AC">
      <w:pPr>
        <w:numPr>
          <w:ilvl w:val="0"/>
          <w:numId w:val="3"/>
        </w:numPr>
        <w:autoSpaceDE w:val="0"/>
        <w:autoSpaceDN w:val="0"/>
        <w:spacing w:before="0" w:line="240" w:lineRule="auto"/>
        <w:ind w:left="714" w:hanging="357"/>
        <w:jc w:val="both"/>
        <w:rPr>
          <w:rFonts w:asciiTheme="minorHAnsi" w:hAnsiTheme="minorHAnsi"/>
          <w:szCs w:val="22"/>
        </w:rPr>
      </w:pPr>
      <w:r>
        <w:rPr>
          <w:rFonts w:asciiTheme="minorHAnsi" w:hAnsiTheme="minorHAnsi"/>
          <w:szCs w:val="22"/>
        </w:rPr>
        <w:t>określony w czasie –wartość wskaźnika powinna zostać określona w czasie, tj. określony rok osiągnięcia wartości docelowej wskaźnika</w:t>
      </w:r>
      <w:r w:rsidR="00370466">
        <w:rPr>
          <w:rFonts w:asciiTheme="minorHAnsi" w:hAnsiTheme="minorHAnsi"/>
          <w:szCs w:val="22"/>
        </w:rPr>
        <w:t xml:space="preserve"> oraz okres</w:t>
      </w:r>
      <w:r>
        <w:rPr>
          <w:rFonts w:asciiTheme="minorHAnsi" w:hAnsiTheme="minorHAnsi"/>
          <w:szCs w:val="22"/>
        </w:rPr>
        <w:t xml:space="preserve">, w którym będzie </w:t>
      </w:r>
      <w:r w:rsidR="00370466">
        <w:rPr>
          <w:rFonts w:asciiTheme="minorHAnsi" w:hAnsiTheme="minorHAnsi"/>
          <w:szCs w:val="22"/>
        </w:rPr>
        <w:t>mierzony wskaźnik</w:t>
      </w:r>
    </w:p>
    <w:p w:rsidR="005657D8" w:rsidRPr="00911273" w:rsidRDefault="005657D8" w:rsidP="007650AC">
      <w:pPr>
        <w:autoSpaceDE w:val="0"/>
        <w:autoSpaceDN w:val="0"/>
        <w:adjustRightInd w:val="0"/>
        <w:spacing w:before="120" w:after="120" w:line="240" w:lineRule="auto"/>
        <w:jc w:val="both"/>
        <w:rPr>
          <w:rFonts w:asciiTheme="minorHAnsi" w:eastAsiaTheme="minorHAnsi" w:hAnsiTheme="minorHAnsi" w:cs="Calibri"/>
          <w:szCs w:val="22"/>
          <w:lang w:eastAsia="en-US"/>
        </w:rPr>
      </w:pPr>
      <w:r w:rsidRPr="00911273">
        <w:rPr>
          <w:rFonts w:asciiTheme="minorHAnsi" w:eastAsiaTheme="minorHAnsi" w:hAnsiTheme="minorHAnsi" w:cs="Calibri"/>
          <w:szCs w:val="22"/>
          <w:lang w:eastAsia="en-US"/>
        </w:rPr>
        <w:t xml:space="preserve">Odpowiednio we wniosku </w:t>
      </w:r>
      <w:r w:rsidR="00370466">
        <w:rPr>
          <w:rFonts w:asciiTheme="minorHAnsi" w:eastAsiaTheme="minorHAnsi" w:hAnsiTheme="minorHAnsi" w:cs="Calibri"/>
          <w:szCs w:val="22"/>
          <w:lang w:eastAsia="en-US"/>
        </w:rPr>
        <w:t xml:space="preserve">o dofinansowanie </w:t>
      </w:r>
      <w:r w:rsidRPr="00911273">
        <w:rPr>
          <w:rFonts w:asciiTheme="minorHAnsi" w:eastAsiaTheme="minorHAnsi" w:hAnsiTheme="minorHAnsi" w:cs="Calibri"/>
          <w:szCs w:val="22"/>
          <w:lang w:eastAsia="en-US"/>
        </w:rPr>
        <w:t>należy określić, w jaki sposób mierzona będzie realizacja celu poprzez ustalenie wskaźników . Należy określić, co najmniej jeden podstawowy i mierzalny wskaźnik, który w sposób precyzyjny umożliwi weryfikację stopnia realizacji celu głównego</w:t>
      </w:r>
      <w:r w:rsidR="008E3F0D">
        <w:rPr>
          <w:rFonts w:asciiTheme="minorHAnsi" w:eastAsiaTheme="minorHAnsi" w:hAnsiTheme="minorHAnsi" w:cs="Calibri"/>
          <w:szCs w:val="22"/>
          <w:lang w:eastAsia="en-US"/>
        </w:rPr>
        <w:t xml:space="preserve"> projektu</w:t>
      </w:r>
      <w:r w:rsidRPr="00911273">
        <w:rPr>
          <w:rFonts w:asciiTheme="minorHAnsi" w:eastAsiaTheme="minorHAnsi" w:hAnsiTheme="minorHAnsi" w:cs="Calibri"/>
          <w:szCs w:val="22"/>
          <w:lang w:eastAsia="en-US"/>
        </w:rPr>
        <w:t xml:space="preserve">. </w:t>
      </w:r>
    </w:p>
    <w:p w:rsidR="009D3C56" w:rsidRDefault="009D3C56" w:rsidP="007650AC">
      <w:pPr>
        <w:spacing w:before="120" w:after="120" w:line="240" w:lineRule="auto"/>
        <w:jc w:val="both"/>
        <w:rPr>
          <w:rFonts w:asciiTheme="minorHAnsi" w:hAnsiTheme="minorHAnsi"/>
          <w:b/>
          <w:szCs w:val="22"/>
        </w:rPr>
      </w:pPr>
    </w:p>
    <w:p w:rsidR="00370466" w:rsidRDefault="00370466" w:rsidP="007650AC">
      <w:pPr>
        <w:spacing w:before="120" w:after="120" w:line="240" w:lineRule="auto"/>
        <w:jc w:val="both"/>
        <w:rPr>
          <w:rFonts w:asciiTheme="minorHAnsi" w:hAnsiTheme="minorHAnsi"/>
          <w:b/>
          <w:szCs w:val="22"/>
        </w:rPr>
      </w:pPr>
      <w:r>
        <w:rPr>
          <w:rFonts w:asciiTheme="minorHAnsi" w:hAnsiTheme="minorHAnsi"/>
          <w:b/>
          <w:szCs w:val="22"/>
        </w:rPr>
        <w:t>W ramach RPO WD 2014-2020 rozróżnia się następujące wskaźniki:</w:t>
      </w:r>
    </w:p>
    <w:p w:rsidR="00370466" w:rsidRDefault="00370466" w:rsidP="007650AC">
      <w:pPr>
        <w:pStyle w:val="Akapitzlist"/>
        <w:numPr>
          <w:ilvl w:val="0"/>
          <w:numId w:val="5"/>
        </w:numPr>
        <w:spacing w:before="120" w:after="120" w:line="240" w:lineRule="auto"/>
        <w:ind w:left="567" w:hanging="567"/>
        <w:jc w:val="both"/>
        <w:rPr>
          <w:rFonts w:asciiTheme="minorHAnsi" w:hAnsiTheme="minorHAnsi"/>
          <w:b/>
          <w:szCs w:val="22"/>
        </w:rPr>
      </w:pPr>
      <w:r>
        <w:rPr>
          <w:rFonts w:asciiTheme="minorHAnsi" w:hAnsiTheme="minorHAnsi"/>
          <w:b/>
          <w:szCs w:val="22"/>
        </w:rPr>
        <w:t>obligatoryjne – wskaźniki ujęte w RPO WD 2014-2020,</w:t>
      </w:r>
      <w:r w:rsidR="008E3F0D">
        <w:rPr>
          <w:rFonts w:asciiTheme="minorHAnsi" w:hAnsiTheme="minorHAnsi"/>
          <w:b/>
          <w:szCs w:val="22"/>
        </w:rPr>
        <w:t xml:space="preserve"> SZOOP RPO D 2014-2020</w:t>
      </w:r>
    </w:p>
    <w:p w:rsidR="00370466" w:rsidRDefault="00370466" w:rsidP="007650AC">
      <w:pPr>
        <w:pStyle w:val="Akapitzlist"/>
        <w:numPr>
          <w:ilvl w:val="0"/>
          <w:numId w:val="5"/>
        </w:numPr>
        <w:spacing w:before="120" w:after="120" w:line="240" w:lineRule="auto"/>
        <w:ind w:left="567" w:hanging="567"/>
        <w:jc w:val="both"/>
        <w:rPr>
          <w:rFonts w:asciiTheme="minorHAnsi" w:hAnsiTheme="minorHAnsi"/>
          <w:b/>
          <w:szCs w:val="22"/>
        </w:rPr>
      </w:pPr>
      <w:r>
        <w:rPr>
          <w:rFonts w:asciiTheme="minorHAnsi" w:hAnsiTheme="minorHAnsi"/>
          <w:b/>
          <w:szCs w:val="22"/>
        </w:rPr>
        <w:t xml:space="preserve">horyzontalne </w:t>
      </w:r>
    </w:p>
    <w:p w:rsidR="00370466" w:rsidRDefault="00370466" w:rsidP="007650AC">
      <w:pPr>
        <w:pStyle w:val="Akapitzlist"/>
        <w:numPr>
          <w:ilvl w:val="0"/>
          <w:numId w:val="5"/>
        </w:numPr>
        <w:spacing w:before="120" w:after="120" w:line="240" w:lineRule="auto"/>
        <w:ind w:left="567" w:hanging="567"/>
        <w:jc w:val="both"/>
        <w:rPr>
          <w:rFonts w:asciiTheme="minorHAnsi" w:hAnsiTheme="minorHAnsi"/>
          <w:b/>
          <w:szCs w:val="22"/>
        </w:rPr>
      </w:pPr>
      <w:r>
        <w:rPr>
          <w:rFonts w:asciiTheme="minorHAnsi" w:hAnsiTheme="minorHAnsi"/>
          <w:b/>
          <w:szCs w:val="22"/>
        </w:rPr>
        <w:t xml:space="preserve">dodatkowe </w:t>
      </w:r>
      <w:r w:rsidR="0015486C">
        <w:rPr>
          <w:rFonts w:asciiTheme="minorHAnsi" w:hAnsiTheme="minorHAnsi"/>
          <w:b/>
          <w:szCs w:val="22"/>
        </w:rPr>
        <w:t>– wskaźniki projektowe</w:t>
      </w:r>
    </w:p>
    <w:p w:rsidR="00370466" w:rsidRPr="00370466" w:rsidRDefault="00370466" w:rsidP="007650AC">
      <w:pPr>
        <w:pStyle w:val="Akapitzlist"/>
        <w:spacing w:before="120" w:after="120" w:line="240" w:lineRule="auto"/>
        <w:ind w:left="720"/>
        <w:jc w:val="both"/>
        <w:rPr>
          <w:rFonts w:asciiTheme="minorHAnsi" w:hAnsiTheme="minorHAnsi"/>
          <w:b/>
          <w:szCs w:val="22"/>
        </w:rPr>
      </w:pPr>
    </w:p>
    <w:p w:rsidR="008C495E" w:rsidRPr="00911273" w:rsidRDefault="008C495E" w:rsidP="007650AC">
      <w:pPr>
        <w:pStyle w:val="Nagwek1"/>
        <w:spacing w:before="120" w:after="120" w:line="240" w:lineRule="auto"/>
        <w:jc w:val="both"/>
        <w:rPr>
          <w:rFonts w:asciiTheme="minorHAnsi" w:hAnsiTheme="minorHAnsi"/>
          <w:sz w:val="22"/>
          <w:szCs w:val="22"/>
        </w:rPr>
      </w:pPr>
      <w:r w:rsidRPr="00911273">
        <w:rPr>
          <w:rFonts w:asciiTheme="minorHAnsi" w:hAnsiTheme="minorHAnsi"/>
          <w:sz w:val="22"/>
          <w:szCs w:val="22"/>
        </w:rPr>
        <w:t>Wymagania w zakresie wskaźników w projekcie</w:t>
      </w:r>
      <w:bookmarkEnd w:id="0"/>
      <w:bookmarkEnd w:id="1"/>
      <w:bookmarkEnd w:id="2"/>
    </w:p>
    <w:p w:rsidR="009D3C56" w:rsidRPr="00911273" w:rsidRDefault="008C495E" w:rsidP="007650AC">
      <w:pPr>
        <w:autoSpaceDE w:val="0"/>
        <w:autoSpaceDN w:val="0"/>
        <w:adjustRightInd w:val="0"/>
        <w:spacing w:before="120" w:after="120" w:line="240" w:lineRule="auto"/>
        <w:jc w:val="both"/>
        <w:rPr>
          <w:rFonts w:asciiTheme="minorHAnsi" w:eastAsiaTheme="minorHAnsi" w:hAnsiTheme="minorHAnsi" w:cs="Calibri"/>
          <w:szCs w:val="22"/>
          <w:lang w:eastAsia="en-US"/>
        </w:rPr>
      </w:pPr>
      <w:r w:rsidRPr="00911273">
        <w:rPr>
          <w:rFonts w:asciiTheme="minorHAnsi" w:eastAsiaTheme="minorHAnsi" w:hAnsiTheme="minorHAnsi" w:cs="Calibri"/>
          <w:szCs w:val="22"/>
          <w:lang w:eastAsia="en-US"/>
        </w:rPr>
        <w:t xml:space="preserve">W ramach wniosku o dofinansowanie projektu Wnioskodawca określa </w:t>
      </w:r>
      <w:r w:rsidRPr="00911273">
        <w:rPr>
          <w:rFonts w:asciiTheme="minorHAnsi" w:eastAsiaTheme="minorHAnsi" w:hAnsiTheme="minorHAnsi" w:cs="Calibri"/>
          <w:b/>
          <w:bCs/>
          <w:szCs w:val="22"/>
          <w:lang w:eastAsia="en-US"/>
        </w:rPr>
        <w:t>wskaźniki służące pomiarowi działań i celów założonych w projekcie.</w:t>
      </w:r>
      <w:r w:rsidRPr="00911273">
        <w:rPr>
          <w:rFonts w:asciiTheme="minorHAnsi" w:eastAsiaTheme="minorHAnsi" w:hAnsiTheme="minorHAnsi" w:cs="Calibri"/>
          <w:szCs w:val="22"/>
          <w:lang w:eastAsia="en-US"/>
        </w:rPr>
        <w:t xml:space="preserve"> Wskaźniki w ramach projektu należy określić mając </w:t>
      </w:r>
      <w:r w:rsidR="00CF69D1">
        <w:rPr>
          <w:rFonts w:asciiTheme="minorHAnsi" w:eastAsiaTheme="minorHAnsi" w:hAnsiTheme="minorHAnsi" w:cs="Calibri"/>
          <w:szCs w:val="22"/>
          <w:lang w:eastAsia="en-US"/>
        </w:rPr>
        <w:br/>
      </w:r>
      <w:r w:rsidRPr="00911273">
        <w:rPr>
          <w:rFonts w:asciiTheme="minorHAnsi" w:eastAsiaTheme="minorHAnsi" w:hAnsiTheme="minorHAnsi" w:cs="Calibri"/>
          <w:szCs w:val="22"/>
          <w:lang w:eastAsia="en-US"/>
        </w:rPr>
        <w:t xml:space="preserve">w szczególności na uwadze zapisy niniejszego regulaminu </w:t>
      </w:r>
    </w:p>
    <w:p w:rsidR="008A09D1" w:rsidRPr="008A09D1" w:rsidRDefault="008A09D1" w:rsidP="007650AC">
      <w:pPr>
        <w:autoSpaceDE w:val="0"/>
        <w:autoSpaceDN w:val="0"/>
        <w:adjustRightInd w:val="0"/>
        <w:spacing w:line="240" w:lineRule="auto"/>
        <w:jc w:val="both"/>
        <w:rPr>
          <w:rFonts w:asciiTheme="minorHAnsi" w:hAnsiTheme="minorHAnsi" w:cs="Arial"/>
          <w:color w:val="000000"/>
        </w:rPr>
      </w:pPr>
      <w:r w:rsidRPr="008A09D1">
        <w:rPr>
          <w:rFonts w:asciiTheme="minorHAnsi" w:hAnsiTheme="minorHAnsi" w:cs="Arial"/>
          <w:b/>
          <w:color w:val="000000"/>
        </w:rPr>
        <w:t>W</w:t>
      </w:r>
      <w:r w:rsidRPr="008A09D1">
        <w:rPr>
          <w:rFonts w:asciiTheme="minorHAnsi" w:hAnsiTheme="minorHAnsi" w:cs="Arial"/>
          <w:b/>
          <w:bCs/>
          <w:color w:val="000000"/>
        </w:rPr>
        <w:t>skaźniki produktu</w:t>
      </w:r>
      <w:r w:rsidRPr="008A09D1">
        <w:rPr>
          <w:rFonts w:asciiTheme="minorHAnsi" w:hAnsiTheme="minorHAnsi" w:cs="Arial"/>
          <w:bCs/>
          <w:color w:val="000000"/>
        </w:rPr>
        <w:t xml:space="preserve"> są to wskaźniki powiązane bezpośrednio z wydatkami ponoszonymi w projekcie</w:t>
      </w:r>
      <w:r w:rsidRPr="008A09D1">
        <w:rPr>
          <w:rFonts w:asciiTheme="minorHAnsi" w:hAnsiTheme="minorHAnsi" w:cs="Arial"/>
          <w:color w:val="000000"/>
        </w:rPr>
        <w:t xml:space="preserve">, mierzone konkretnymi wielkościami. Liczone są w jednostkach fizycznych </w:t>
      </w:r>
      <w:r w:rsidR="0015486C">
        <w:rPr>
          <w:rFonts w:asciiTheme="minorHAnsi" w:hAnsiTheme="minorHAnsi" w:cs="Arial"/>
          <w:color w:val="000000"/>
        </w:rPr>
        <w:t>lub monetarnych. Wybrane przez W</w:t>
      </w:r>
      <w:r w:rsidRPr="008A09D1">
        <w:rPr>
          <w:rFonts w:asciiTheme="minorHAnsi" w:hAnsiTheme="minorHAnsi" w:cs="Arial"/>
          <w:color w:val="000000"/>
        </w:rPr>
        <w:t xml:space="preserve">nioskodawcę wskaźniki muszą być adekwatne do zakresu projektu oraz mają być powiązane </w:t>
      </w:r>
      <w:r w:rsidR="00CF69D1">
        <w:rPr>
          <w:rFonts w:asciiTheme="minorHAnsi" w:hAnsiTheme="minorHAnsi" w:cs="Arial"/>
          <w:color w:val="000000"/>
        </w:rPr>
        <w:br/>
      </w:r>
      <w:r w:rsidRPr="008A09D1">
        <w:rPr>
          <w:rFonts w:asciiTheme="minorHAnsi" w:hAnsiTheme="minorHAnsi" w:cs="Arial"/>
          <w:color w:val="000000"/>
        </w:rPr>
        <w:t>z głównymi kategoriami wydatków w projekcie.</w:t>
      </w:r>
    </w:p>
    <w:p w:rsidR="008A09D1" w:rsidRDefault="008A09D1" w:rsidP="007650AC">
      <w:pPr>
        <w:pStyle w:val="Default"/>
        <w:jc w:val="both"/>
        <w:rPr>
          <w:rFonts w:asciiTheme="minorHAnsi" w:hAnsiTheme="minorHAnsi"/>
          <w:sz w:val="22"/>
          <w:szCs w:val="22"/>
        </w:rPr>
      </w:pPr>
    </w:p>
    <w:p w:rsidR="008A09D1" w:rsidRPr="008A09D1" w:rsidRDefault="008A09D1" w:rsidP="007650AC">
      <w:pPr>
        <w:pStyle w:val="Default"/>
        <w:jc w:val="both"/>
        <w:rPr>
          <w:rFonts w:asciiTheme="minorHAnsi" w:hAnsiTheme="minorHAnsi"/>
          <w:b/>
          <w:sz w:val="22"/>
          <w:szCs w:val="22"/>
        </w:rPr>
      </w:pPr>
      <w:r w:rsidRPr="008A09D1">
        <w:rPr>
          <w:rFonts w:asciiTheme="minorHAnsi" w:hAnsiTheme="minorHAnsi"/>
          <w:b/>
          <w:sz w:val="22"/>
          <w:szCs w:val="22"/>
        </w:rPr>
        <w:t xml:space="preserve">W przypadku, gdy w ramach danego </w:t>
      </w:r>
      <w:r w:rsidR="008E3F0D">
        <w:rPr>
          <w:rFonts w:asciiTheme="minorHAnsi" w:hAnsiTheme="minorHAnsi"/>
          <w:b/>
          <w:sz w:val="22"/>
          <w:szCs w:val="22"/>
        </w:rPr>
        <w:t>D</w:t>
      </w:r>
      <w:r w:rsidRPr="008A09D1">
        <w:rPr>
          <w:rFonts w:asciiTheme="minorHAnsi" w:hAnsiTheme="minorHAnsi"/>
          <w:b/>
          <w:sz w:val="22"/>
          <w:szCs w:val="22"/>
        </w:rPr>
        <w:t xml:space="preserve">ziałania uwzględniony został wskaźnik z RPO, który odzwierciedla zakres projektu, jego wykazanie dla Wnioskodawcy jest  obligatoryjne. </w:t>
      </w:r>
    </w:p>
    <w:p w:rsidR="008A09D1" w:rsidRPr="008A09D1" w:rsidRDefault="008A09D1" w:rsidP="007650AC">
      <w:pPr>
        <w:autoSpaceDE w:val="0"/>
        <w:autoSpaceDN w:val="0"/>
        <w:adjustRightInd w:val="0"/>
        <w:spacing w:line="240" w:lineRule="auto"/>
        <w:jc w:val="both"/>
        <w:rPr>
          <w:rFonts w:asciiTheme="minorHAnsi" w:hAnsiTheme="minorHAnsi" w:cs="Arial"/>
          <w:bCs/>
          <w:color w:val="000000"/>
        </w:rPr>
      </w:pPr>
    </w:p>
    <w:p w:rsidR="008A09D1" w:rsidRPr="008A09D1" w:rsidRDefault="008A09D1" w:rsidP="007650AC">
      <w:pPr>
        <w:pStyle w:val="Default"/>
        <w:jc w:val="both"/>
        <w:rPr>
          <w:rFonts w:asciiTheme="minorHAnsi" w:hAnsiTheme="minorHAnsi"/>
          <w:sz w:val="22"/>
          <w:szCs w:val="22"/>
        </w:rPr>
      </w:pPr>
      <w:r w:rsidRPr="008A09D1">
        <w:rPr>
          <w:rFonts w:asciiTheme="minorHAnsi" w:hAnsiTheme="minorHAnsi"/>
          <w:sz w:val="22"/>
          <w:szCs w:val="22"/>
        </w:rPr>
        <w:t xml:space="preserve">Dla każdego z wybranych wskaźników Wnioskodawca zobowiązany jest do wskazania </w:t>
      </w:r>
      <w:r w:rsidRPr="008A09D1">
        <w:rPr>
          <w:rFonts w:asciiTheme="minorHAnsi" w:hAnsiTheme="minorHAnsi"/>
          <w:i/>
          <w:sz w:val="22"/>
          <w:szCs w:val="22"/>
        </w:rPr>
        <w:t>„Jednostki miary”</w:t>
      </w:r>
      <w:r w:rsidRPr="008A09D1">
        <w:rPr>
          <w:rFonts w:asciiTheme="minorHAnsi" w:hAnsiTheme="minorHAnsi"/>
          <w:sz w:val="22"/>
          <w:szCs w:val="22"/>
        </w:rPr>
        <w:t xml:space="preserve">, </w:t>
      </w:r>
      <w:r w:rsidRPr="008A09D1">
        <w:rPr>
          <w:rFonts w:asciiTheme="minorHAnsi" w:hAnsiTheme="minorHAnsi"/>
          <w:i/>
          <w:sz w:val="22"/>
          <w:szCs w:val="22"/>
        </w:rPr>
        <w:t>„Wartości bazowej”</w:t>
      </w:r>
      <w:r w:rsidRPr="008A09D1">
        <w:rPr>
          <w:rFonts w:asciiTheme="minorHAnsi" w:hAnsiTheme="minorHAnsi"/>
          <w:sz w:val="22"/>
          <w:szCs w:val="22"/>
        </w:rPr>
        <w:t xml:space="preserve">, </w:t>
      </w:r>
      <w:r w:rsidRPr="008A09D1">
        <w:rPr>
          <w:rFonts w:asciiTheme="minorHAnsi" w:hAnsiTheme="minorHAnsi"/>
          <w:i/>
          <w:sz w:val="22"/>
          <w:szCs w:val="22"/>
        </w:rPr>
        <w:t>„Wartości docelowej wskaźnika”</w:t>
      </w:r>
      <w:r w:rsidRPr="008A09D1">
        <w:rPr>
          <w:rFonts w:asciiTheme="minorHAnsi" w:hAnsiTheme="minorHAnsi"/>
          <w:sz w:val="22"/>
          <w:szCs w:val="22"/>
        </w:rPr>
        <w:t xml:space="preserve">, a także </w:t>
      </w:r>
      <w:r w:rsidRPr="008A09D1">
        <w:rPr>
          <w:rFonts w:asciiTheme="minorHAnsi" w:hAnsiTheme="minorHAnsi"/>
          <w:i/>
          <w:sz w:val="22"/>
          <w:szCs w:val="22"/>
        </w:rPr>
        <w:t>„Źródła informacji o</w:t>
      </w:r>
      <w:r w:rsidR="007E025A">
        <w:rPr>
          <w:rFonts w:asciiTheme="minorHAnsi" w:hAnsiTheme="minorHAnsi"/>
          <w:i/>
          <w:sz w:val="22"/>
          <w:szCs w:val="22"/>
        </w:rPr>
        <w:t> </w:t>
      </w:r>
      <w:r w:rsidRPr="008A09D1">
        <w:rPr>
          <w:rFonts w:asciiTheme="minorHAnsi" w:hAnsiTheme="minorHAnsi"/>
          <w:i/>
          <w:sz w:val="22"/>
          <w:szCs w:val="22"/>
        </w:rPr>
        <w:t>wskaźniku”</w:t>
      </w:r>
      <w:r w:rsidRPr="008A09D1">
        <w:rPr>
          <w:rFonts w:asciiTheme="minorHAnsi" w:hAnsiTheme="minorHAnsi"/>
          <w:sz w:val="22"/>
          <w:szCs w:val="22"/>
        </w:rPr>
        <w:t xml:space="preserve">. </w:t>
      </w:r>
    </w:p>
    <w:p w:rsidR="008A09D1" w:rsidRPr="008A09D1" w:rsidRDefault="008A09D1" w:rsidP="007650AC">
      <w:pPr>
        <w:pStyle w:val="Default"/>
        <w:jc w:val="both"/>
        <w:rPr>
          <w:rFonts w:asciiTheme="minorHAnsi" w:hAnsiTheme="minorHAnsi"/>
          <w:sz w:val="22"/>
          <w:szCs w:val="22"/>
        </w:rPr>
      </w:pPr>
      <w:r w:rsidRPr="008A09D1">
        <w:rPr>
          <w:rFonts w:asciiTheme="minorHAnsi" w:hAnsiTheme="minorHAnsi"/>
          <w:sz w:val="22"/>
          <w:szCs w:val="22"/>
        </w:rPr>
        <w:t xml:space="preserve">Wartość docelowa dla wskaźnika produktu to wyrażony liczbowo stan danego wskaźnika na moment zakończenia rzeczowej realizacji projektu. </w:t>
      </w:r>
    </w:p>
    <w:p w:rsidR="008A09D1" w:rsidRPr="008A09D1" w:rsidRDefault="008A09D1" w:rsidP="007650AC">
      <w:pPr>
        <w:pStyle w:val="Default"/>
        <w:jc w:val="both"/>
        <w:rPr>
          <w:rFonts w:asciiTheme="minorHAnsi" w:hAnsiTheme="minorHAnsi"/>
          <w:sz w:val="22"/>
          <w:szCs w:val="22"/>
          <w:highlight w:val="yellow"/>
        </w:rPr>
      </w:pPr>
      <w:r w:rsidRPr="008A09D1">
        <w:rPr>
          <w:rFonts w:asciiTheme="minorHAnsi" w:hAnsiTheme="minorHAnsi"/>
          <w:sz w:val="22"/>
          <w:szCs w:val="22"/>
        </w:rPr>
        <w:t>Jako źródło informacji o wskaźniku wskazać należy odpowiedni dokument (np. protokół odbioru</w:t>
      </w:r>
      <w:r w:rsidR="007E025A">
        <w:rPr>
          <w:rFonts w:asciiTheme="minorHAnsi" w:hAnsiTheme="minorHAnsi"/>
          <w:sz w:val="22"/>
          <w:szCs w:val="22"/>
        </w:rPr>
        <w:t xml:space="preserve"> robót</w:t>
      </w:r>
      <w:r w:rsidRPr="008A09D1">
        <w:rPr>
          <w:rFonts w:asciiTheme="minorHAnsi" w:hAnsiTheme="minorHAnsi"/>
          <w:sz w:val="22"/>
          <w:szCs w:val="22"/>
        </w:rPr>
        <w:t>).</w:t>
      </w:r>
      <w:r w:rsidRPr="008A09D1">
        <w:rPr>
          <w:rFonts w:asciiTheme="minorHAnsi" w:hAnsiTheme="minorHAnsi"/>
          <w:sz w:val="22"/>
          <w:szCs w:val="22"/>
          <w:highlight w:val="yellow"/>
        </w:rPr>
        <w:t xml:space="preserve"> </w:t>
      </w:r>
    </w:p>
    <w:p w:rsidR="008C495E" w:rsidRPr="00911273" w:rsidRDefault="008C495E" w:rsidP="007650AC">
      <w:pPr>
        <w:autoSpaceDE w:val="0"/>
        <w:autoSpaceDN w:val="0"/>
        <w:adjustRightInd w:val="0"/>
        <w:spacing w:before="120" w:after="120" w:line="240" w:lineRule="auto"/>
        <w:jc w:val="both"/>
        <w:rPr>
          <w:rFonts w:asciiTheme="minorHAnsi" w:hAnsiTheme="minorHAnsi"/>
          <w:szCs w:val="22"/>
        </w:rPr>
      </w:pPr>
      <w:r w:rsidRPr="00911273">
        <w:rPr>
          <w:rFonts w:asciiTheme="minorHAnsi" w:hAnsiTheme="minorHAnsi"/>
          <w:szCs w:val="22"/>
        </w:rPr>
        <w:t xml:space="preserve">W ramach Działania </w:t>
      </w:r>
      <w:r w:rsidR="00B145AE">
        <w:rPr>
          <w:rFonts w:asciiTheme="minorHAnsi" w:hAnsiTheme="minorHAnsi"/>
          <w:szCs w:val="22"/>
        </w:rPr>
        <w:t xml:space="preserve">7.1 </w:t>
      </w:r>
      <w:r w:rsidRPr="00911273">
        <w:rPr>
          <w:rFonts w:asciiTheme="minorHAnsi" w:hAnsiTheme="minorHAnsi"/>
          <w:szCs w:val="22"/>
        </w:rPr>
        <w:t xml:space="preserve"> </w:t>
      </w:r>
      <w:r w:rsidR="005A1857">
        <w:rPr>
          <w:rFonts w:asciiTheme="minorHAnsi" w:hAnsiTheme="minorHAnsi"/>
          <w:szCs w:val="22"/>
        </w:rPr>
        <w:t xml:space="preserve">w przypadku projektów dotyczących infrastruktury przedszkolnej </w:t>
      </w:r>
      <w:r w:rsidRPr="00911273">
        <w:rPr>
          <w:rFonts w:asciiTheme="minorHAnsi" w:hAnsiTheme="minorHAnsi"/>
          <w:szCs w:val="22"/>
        </w:rPr>
        <w:t xml:space="preserve">określono poniższe wskaźniki </w:t>
      </w:r>
      <w:r w:rsidRPr="008A09D1">
        <w:rPr>
          <w:rFonts w:asciiTheme="minorHAnsi" w:hAnsiTheme="minorHAnsi"/>
          <w:b/>
          <w:szCs w:val="22"/>
        </w:rPr>
        <w:t>produktu:</w:t>
      </w:r>
    </w:p>
    <w:p w:rsidR="008C495E" w:rsidRPr="00911273" w:rsidRDefault="008C495E" w:rsidP="007650AC">
      <w:pPr>
        <w:autoSpaceDE w:val="0"/>
        <w:autoSpaceDN w:val="0"/>
        <w:adjustRightInd w:val="0"/>
        <w:spacing w:before="120" w:after="120" w:line="240" w:lineRule="auto"/>
        <w:jc w:val="both"/>
        <w:rPr>
          <w:rFonts w:asciiTheme="minorHAnsi" w:hAnsiTheme="minorHAnsi"/>
          <w:szCs w:val="22"/>
        </w:rPr>
      </w:pPr>
    </w:p>
    <w:tbl>
      <w:tblPr>
        <w:tblW w:w="5035"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096"/>
        <w:gridCol w:w="918"/>
        <w:gridCol w:w="4536"/>
        <w:gridCol w:w="1803"/>
      </w:tblGrid>
      <w:tr w:rsidR="00370466" w:rsidRPr="00911273" w:rsidTr="008554A8">
        <w:trPr>
          <w:cantSplit/>
          <w:trHeight w:val="20"/>
          <w:jc w:val="center"/>
        </w:trPr>
        <w:tc>
          <w:tcPr>
            <w:tcW w:w="1120" w:type="pct"/>
            <w:shd w:val="clear" w:color="auto" w:fill="auto"/>
          </w:tcPr>
          <w:p w:rsidR="005657D8" w:rsidRPr="00911273" w:rsidRDefault="005657D8" w:rsidP="007650AC">
            <w:pPr>
              <w:spacing w:before="0" w:line="240" w:lineRule="auto"/>
              <w:jc w:val="center"/>
              <w:rPr>
                <w:rFonts w:asciiTheme="minorHAnsi" w:hAnsiTheme="minorHAnsi"/>
                <w:b/>
                <w:szCs w:val="22"/>
              </w:rPr>
            </w:pPr>
            <w:r w:rsidRPr="00911273">
              <w:rPr>
                <w:rFonts w:asciiTheme="minorHAnsi" w:hAnsiTheme="minorHAnsi"/>
                <w:b/>
                <w:szCs w:val="22"/>
              </w:rPr>
              <w:t>Nazwa wskaźnika produktu</w:t>
            </w:r>
          </w:p>
        </w:tc>
        <w:tc>
          <w:tcPr>
            <w:tcW w:w="491" w:type="pct"/>
          </w:tcPr>
          <w:p w:rsidR="005657D8" w:rsidRPr="00911273" w:rsidRDefault="005657D8" w:rsidP="007650AC">
            <w:pPr>
              <w:suppressAutoHyphens/>
              <w:spacing w:before="0" w:line="240" w:lineRule="auto"/>
              <w:jc w:val="center"/>
              <w:rPr>
                <w:rFonts w:asciiTheme="minorHAnsi" w:hAnsiTheme="minorHAnsi"/>
                <w:b/>
                <w:bCs/>
                <w:szCs w:val="22"/>
              </w:rPr>
            </w:pPr>
            <w:r w:rsidRPr="00911273">
              <w:rPr>
                <w:rFonts w:asciiTheme="minorHAnsi" w:hAnsiTheme="minorHAnsi"/>
                <w:b/>
                <w:bCs/>
                <w:szCs w:val="22"/>
              </w:rPr>
              <w:t>Jednostka miary</w:t>
            </w:r>
          </w:p>
        </w:tc>
        <w:tc>
          <w:tcPr>
            <w:tcW w:w="2425" w:type="pct"/>
            <w:shd w:val="clear" w:color="auto" w:fill="auto"/>
          </w:tcPr>
          <w:p w:rsidR="005657D8" w:rsidRPr="00911273" w:rsidRDefault="005657D8" w:rsidP="007650AC">
            <w:pPr>
              <w:suppressAutoHyphens/>
              <w:spacing w:before="0" w:line="240" w:lineRule="auto"/>
              <w:jc w:val="center"/>
              <w:rPr>
                <w:rFonts w:asciiTheme="minorHAnsi" w:hAnsiTheme="minorHAnsi"/>
                <w:b/>
                <w:szCs w:val="22"/>
              </w:rPr>
            </w:pPr>
            <w:r w:rsidRPr="00911273">
              <w:rPr>
                <w:rFonts w:asciiTheme="minorHAnsi" w:hAnsiTheme="minorHAnsi"/>
                <w:b/>
                <w:bCs/>
                <w:szCs w:val="22"/>
              </w:rPr>
              <w:t>Definicja wskaźnika</w:t>
            </w:r>
          </w:p>
        </w:tc>
        <w:tc>
          <w:tcPr>
            <w:tcW w:w="964" w:type="pct"/>
          </w:tcPr>
          <w:p w:rsidR="005657D8" w:rsidRPr="00911273" w:rsidRDefault="005657D8" w:rsidP="007650AC">
            <w:pPr>
              <w:suppressAutoHyphens/>
              <w:spacing w:before="0" w:line="240" w:lineRule="auto"/>
              <w:jc w:val="center"/>
              <w:rPr>
                <w:rFonts w:asciiTheme="minorHAnsi" w:hAnsiTheme="minorHAnsi"/>
                <w:b/>
                <w:bCs/>
                <w:szCs w:val="22"/>
              </w:rPr>
            </w:pPr>
            <w:r>
              <w:rPr>
                <w:rFonts w:asciiTheme="minorHAnsi" w:hAnsiTheme="minorHAnsi"/>
                <w:b/>
                <w:bCs/>
                <w:szCs w:val="22"/>
              </w:rPr>
              <w:t>Rodzaj dokumentu, w</w:t>
            </w:r>
            <w:r w:rsidR="007E025A">
              <w:rPr>
                <w:rFonts w:asciiTheme="minorHAnsi" w:hAnsiTheme="minorHAnsi"/>
                <w:b/>
                <w:bCs/>
                <w:szCs w:val="22"/>
              </w:rPr>
              <w:t> </w:t>
            </w:r>
            <w:r>
              <w:rPr>
                <w:rFonts w:asciiTheme="minorHAnsi" w:hAnsiTheme="minorHAnsi"/>
                <w:b/>
                <w:bCs/>
                <w:szCs w:val="22"/>
              </w:rPr>
              <w:t>którym określono wskaźnik</w:t>
            </w:r>
          </w:p>
        </w:tc>
      </w:tr>
      <w:tr w:rsidR="00370466" w:rsidRPr="00911273" w:rsidTr="008554A8">
        <w:trPr>
          <w:cantSplit/>
          <w:trHeight w:val="20"/>
          <w:jc w:val="center"/>
        </w:trPr>
        <w:tc>
          <w:tcPr>
            <w:tcW w:w="1120" w:type="pct"/>
            <w:shd w:val="clear" w:color="auto" w:fill="auto"/>
          </w:tcPr>
          <w:p w:rsidR="005657D8" w:rsidRPr="00911273" w:rsidRDefault="005A1857" w:rsidP="00002E70">
            <w:pPr>
              <w:spacing w:before="60" w:after="60" w:line="240" w:lineRule="auto"/>
              <w:rPr>
                <w:rFonts w:asciiTheme="minorHAnsi" w:hAnsiTheme="minorHAnsi"/>
                <w:szCs w:val="22"/>
              </w:rPr>
            </w:pPr>
            <w:r w:rsidRPr="005A1857">
              <w:rPr>
                <w:rFonts w:asciiTheme="minorHAnsi" w:hAnsiTheme="minorHAnsi"/>
                <w:szCs w:val="22"/>
              </w:rPr>
              <w:t xml:space="preserve">Opieka nad dziećmi i edukacja: Liczba miejsc w objętej wsparciem infrastrukturze w zakresie opieki nad dziećmi lub infrastrukturze edukacyjnej (CI 35) </w:t>
            </w:r>
          </w:p>
        </w:tc>
        <w:tc>
          <w:tcPr>
            <w:tcW w:w="491" w:type="pct"/>
          </w:tcPr>
          <w:p w:rsidR="005657D8" w:rsidRPr="00911273" w:rsidRDefault="0061737E" w:rsidP="007650AC">
            <w:pPr>
              <w:spacing w:line="240" w:lineRule="auto"/>
              <w:jc w:val="both"/>
              <w:rPr>
                <w:szCs w:val="22"/>
              </w:rPr>
            </w:pPr>
            <w:r>
              <w:rPr>
                <w:rFonts w:asciiTheme="minorHAnsi" w:hAnsiTheme="minorHAnsi"/>
                <w:szCs w:val="22"/>
              </w:rPr>
              <w:t>osoby</w:t>
            </w:r>
          </w:p>
        </w:tc>
        <w:tc>
          <w:tcPr>
            <w:tcW w:w="2425" w:type="pct"/>
            <w:shd w:val="clear" w:color="auto" w:fill="auto"/>
          </w:tcPr>
          <w:p w:rsidR="005657D8" w:rsidRDefault="00DB617A" w:rsidP="00982504">
            <w:pPr>
              <w:autoSpaceDE w:val="0"/>
              <w:autoSpaceDN w:val="0"/>
              <w:adjustRightInd w:val="0"/>
              <w:spacing w:before="0" w:line="240"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 xml:space="preserve">Liczba </w:t>
            </w:r>
            <w:r w:rsidR="00002E70" w:rsidRPr="00002E70">
              <w:rPr>
                <w:rFonts w:asciiTheme="minorHAnsi" w:eastAsiaTheme="minorHAnsi" w:hAnsiTheme="minorHAnsi" w:cs="Arial"/>
                <w:szCs w:val="22"/>
                <w:lang w:eastAsia="en-US"/>
              </w:rPr>
              <w:t xml:space="preserve">wszystkich (w tym nowoutworzonych) </w:t>
            </w:r>
            <w:r>
              <w:rPr>
                <w:rFonts w:asciiTheme="minorHAnsi" w:eastAsiaTheme="minorHAnsi" w:hAnsiTheme="minorHAnsi" w:cs="Arial"/>
                <w:szCs w:val="22"/>
                <w:lang w:eastAsia="en-US"/>
              </w:rPr>
              <w:t xml:space="preserve">miejsc przedszkolnych które znajdują się </w:t>
            </w:r>
            <w:r w:rsidR="0044238B">
              <w:rPr>
                <w:rFonts w:asciiTheme="minorHAnsi" w:eastAsiaTheme="minorHAnsi" w:hAnsiTheme="minorHAnsi" w:cs="Arial"/>
                <w:szCs w:val="22"/>
                <w:lang w:eastAsia="en-US"/>
              </w:rPr>
              <w:t>w infrastrukturze przedszkolnej</w:t>
            </w:r>
            <w:r>
              <w:rPr>
                <w:rFonts w:asciiTheme="minorHAnsi" w:eastAsiaTheme="minorHAnsi" w:hAnsiTheme="minorHAnsi" w:cs="Arial"/>
                <w:szCs w:val="22"/>
                <w:lang w:eastAsia="en-US"/>
              </w:rPr>
              <w:t xml:space="preserve"> objętej wsparciem. </w:t>
            </w:r>
          </w:p>
          <w:p w:rsidR="005615C8" w:rsidRDefault="005615C8" w:rsidP="005615C8">
            <w:pPr>
              <w:autoSpaceDE w:val="0"/>
              <w:autoSpaceDN w:val="0"/>
              <w:adjustRightInd w:val="0"/>
              <w:spacing w:before="0" w:line="240" w:lineRule="auto"/>
              <w:jc w:val="both"/>
              <w:rPr>
                <w:rFonts w:asciiTheme="minorHAnsi" w:eastAsiaTheme="minorHAnsi" w:hAnsiTheme="minorHAnsi" w:cs="Arial"/>
                <w:szCs w:val="22"/>
                <w:lang w:eastAsia="en-US"/>
              </w:rPr>
            </w:pPr>
          </w:p>
          <w:p w:rsidR="003A6137" w:rsidRPr="00911273" w:rsidRDefault="003A6137" w:rsidP="005615C8">
            <w:pPr>
              <w:autoSpaceDE w:val="0"/>
              <w:autoSpaceDN w:val="0"/>
              <w:adjustRightInd w:val="0"/>
              <w:spacing w:before="0" w:line="240" w:lineRule="auto"/>
              <w:jc w:val="both"/>
              <w:rPr>
                <w:rFonts w:asciiTheme="minorHAnsi" w:eastAsiaTheme="minorHAnsi" w:hAnsiTheme="minorHAnsi" w:cs="Arial"/>
                <w:szCs w:val="22"/>
                <w:lang w:eastAsia="en-US"/>
              </w:rPr>
            </w:pPr>
            <w:r w:rsidRPr="003A6137">
              <w:rPr>
                <w:rFonts w:asciiTheme="minorHAnsi" w:eastAsiaTheme="minorHAnsi" w:hAnsiTheme="minorHAnsi" w:cs="Arial"/>
                <w:szCs w:val="22"/>
                <w:lang w:eastAsia="en-US"/>
              </w:rPr>
              <w:t xml:space="preserve">Wskaźnik dotyczy nowych lub udoskonalonych budynków, lub nowego doposażenia w ramach </w:t>
            </w:r>
            <w:r w:rsidR="005615C8">
              <w:rPr>
                <w:rFonts w:asciiTheme="minorHAnsi" w:eastAsiaTheme="minorHAnsi" w:hAnsiTheme="minorHAnsi" w:cs="Arial"/>
                <w:szCs w:val="22"/>
                <w:lang w:eastAsia="en-US"/>
              </w:rPr>
              <w:t>projektu.</w:t>
            </w:r>
            <w:r w:rsidRPr="003A6137">
              <w:rPr>
                <w:rFonts w:asciiTheme="minorHAnsi" w:eastAsiaTheme="minorHAnsi" w:hAnsiTheme="minorHAnsi" w:cs="Arial"/>
                <w:szCs w:val="22"/>
                <w:lang w:eastAsia="en-US"/>
              </w:rPr>
              <w:t xml:space="preserve"> </w:t>
            </w:r>
          </w:p>
        </w:tc>
        <w:tc>
          <w:tcPr>
            <w:tcW w:w="964" w:type="pct"/>
          </w:tcPr>
          <w:p w:rsidR="005657D8" w:rsidRPr="00911273" w:rsidRDefault="008A09D1" w:rsidP="007650AC">
            <w:pPr>
              <w:autoSpaceDE w:val="0"/>
              <w:autoSpaceDN w:val="0"/>
              <w:adjustRightInd w:val="0"/>
              <w:spacing w:before="0" w:line="240" w:lineRule="auto"/>
              <w:jc w:val="both"/>
              <w:rPr>
                <w:rFonts w:asciiTheme="minorHAnsi" w:hAnsiTheme="minorHAnsi"/>
                <w:szCs w:val="22"/>
              </w:rPr>
            </w:pPr>
            <w:r>
              <w:rPr>
                <w:rFonts w:asciiTheme="minorHAnsi" w:hAnsiTheme="minorHAnsi"/>
                <w:szCs w:val="22"/>
              </w:rPr>
              <w:t xml:space="preserve">RPO </w:t>
            </w:r>
            <w:r w:rsidR="00002E70">
              <w:rPr>
                <w:rFonts w:asciiTheme="minorHAnsi" w:hAnsiTheme="minorHAnsi"/>
                <w:szCs w:val="22"/>
              </w:rPr>
              <w:t>WD 2014-2020</w:t>
            </w:r>
          </w:p>
        </w:tc>
      </w:tr>
      <w:tr w:rsidR="00370466" w:rsidRPr="00911273" w:rsidTr="008554A8">
        <w:trPr>
          <w:trHeight w:val="20"/>
          <w:jc w:val="center"/>
        </w:trPr>
        <w:tc>
          <w:tcPr>
            <w:tcW w:w="1120" w:type="pct"/>
            <w:shd w:val="clear" w:color="auto" w:fill="auto"/>
          </w:tcPr>
          <w:p w:rsidR="005657D8" w:rsidRPr="00911273" w:rsidRDefault="005A1857" w:rsidP="007650AC">
            <w:pPr>
              <w:spacing w:before="60" w:after="60" w:line="240" w:lineRule="auto"/>
              <w:rPr>
                <w:rFonts w:asciiTheme="minorHAnsi" w:hAnsiTheme="minorHAnsi"/>
                <w:szCs w:val="22"/>
              </w:rPr>
            </w:pPr>
            <w:r w:rsidRPr="005A1857">
              <w:rPr>
                <w:rFonts w:asciiTheme="minorHAnsi" w:hAnsiTheme="minorHAnsi"/>
                <w:szCs w:val="22"/>
              </w:rPr>
              <w:t>Liczba wspartych obiektów infrastruktury przedszkolnej</w:t>
            </w:r>
          </w:p>
        </w:tc>
        <w:tc>
          <w:tcPr>
            <w:tcW w:w="491" w:type="pct"/>
          </w:tcPr>
          <w:p w:rsidR="005657D8" w:rsidRPr="00911273" w:rsidRDefault="005657D8" w:rsidP="007650AC">
            <w:pPr>
              <w:spacing w:line="240" w:lineRule="auto"/>
              <w:jc w:val="both"/>
              <w:rPr>
                <w:szCs w:val="22"/>
              </w:rPr>
            </w:pPr>
            <w:r w:rsidRPr="00911273">
              <w:rPr>
                <w:rFonts w:asciiTheme="minorHAnsi" w:hAnsiTheme="minorHAnsi"/>
                <w:szCs w:val="22"/>
              </w:rPr>
              <w:t>szt.</w:t>
            </w:r>
          </w:p>
        </w:tc>
        <w:tc>
          <w:tcPr>
            <w:tcW w:w="2425" w:type="pct"/>
            <w:shd w:val="clear" w:color="auto" w:fill="auto"/>
          </w:tcPr>
          <w:p w:rsidR="005657D8" w:rsidRPr="00911273" w:rsidRDefault="00DB617A" w:rsidP="008B673D">
            <w:pPr>
              <w:spacing w:line="240" w:lineRule="auto"/>
              <w:jc w:val="both"/>
              <w:rPr>
                <w:rFonts w:asciiTheme="minorHAnsi" w:hAnsiTheme="minorHAnsi"/>
                <w:szCs w:val="22"/>
              </w:rPr>
            </w:pPr>
            <w:r>
              <w:rPr>
                <w:rFonts w:asciiTheme="minorHAnsi" w:hAnsiTheme="minorHAnsi"/>
                <w:szCs w:val="22"/>
              </w:rPr>
              <w:t>L</w:t>
            </w:r>
            <w:r w:rsidR="003F6A6D" w:rsidRPr="003F6A6D">
              <w:rPr>
                <w:rFonts w:asciiTheme="minorHAnsi" w:hAnsiTheme="minorHAnsi"/>
                <w:szCs w:val="22"/>
              </w:rPr>
              <w:t>iczba wybudowanych, przebudowanych,</w:t>
            </w:r>
            <w:r w:rsidR="003F6A6D">
              <w:rPr>
                <w:rFonts w:asciiTheme="minorHAnsi" w:hAnsiTheme="minorHAnsi"/>
                <w:szCs w:val="22"/>
              </w:rPr>
              <w:t xml:space="preserve"> rozbudowanych,</w:t>
            </w:r>
            <w:r w:rsidR="003F6A6D" w:rsidRPr="003F6A6D">
              <w:rPr>
                <w:rFonts w:asciiTheme="minorHAnsi" w:hAnsiTheme="minorHAnsi"/>
                <w:szCs w:val="22"/>
              </w:rPr>
              <w:t xml:space="preserve"> zaadoptowanych budynków na potrzeby infrastruktury przedszkolnej.</w:t>
            </w:r>
          </w:p>
        </w:tc>
        <w:tc>
          <w:tcPr>
            <w:tcW w:w="964" w:type="pct"/>
          </w:tcPr>
          <w:p w:rsidR="005657D8" w:rsidRPr="00911273" w:rsidRDefault="0015486C" w:rsidP="007650AC">
            <w:pPr>
              <w:spacing w:line="240" w:lineRule="auto"/>
              <w:jc w:val="both"/>
              <w:rPr>
                <w:rFonts w:asciiTheme="minorHAnsi" w:hAnsiTheme="minorHAnsi"/>
                <w:szCs w:val="22"/>
              </w:rPr>
            </w:pPr>
            <w:r>
              <w:rPr>
                <w:rFonts w:asciiTheme="minorHAnsi" w:hAnsiTheme="minorHAnsi"/>
                <w:szCs w:val="22"/>
              </w:rPr>
              <w:t>RPO</w:t>
            </w:r>
            <w:r w:rsidR="00002E70">
              <w:t xml:space="preserve"> </w:t>
            </w:r>
            <w:r w:rsidR="00002E70" w:rsidRPr="00002E70">
              <w:rPr>
                <w:rFonts w:asciiTheme="minorHAnsi" w:hAnsiTheme="minorHAnsi"/>
                <w:szCs w:val="22"/>
              </w:rPr>
              <w:t>WD 2014-2020</w:t>
            </w:r>
          </w:p>
        </w:tc>
      </w:tr>
      <w:tr w:rsidR="005A1857" w:rsidRPr="00911273" w:rsidTr="008554A8">
        <w:trPr>
          <w:trHeight w:val="20"/>
          <w:jc w:val="center"/>
        </w:trPr>
        <w:tc>
          <w:tcPr>
            <w:tcW w:w="1120" w:type="pct"/>
            <w:shd w:val="clear" w:color="auto" w:fill="auto"/>
          </w:tcPr>
          <w:p w:rsidR="005A1857" w:rsidRPr="005A1857" w:rsidRDefault="005A1857" w:rsidP="00002E70">
            <w:pPr>
              <w:spacing w:before="60" w:after="60" w:line="240" w:lineRule="auto"/>
              <w:rPr>
                <w:rFonts w:asciiTheme="minorHAnsi" w:hAnsiTheme="minorHAnsi"/>
                <w:szCs w:val="22"/>
              </w:rPr>
            </w:pPr>
            <w:r w:rsidRPr="005A1857">
              <w:rPr>
                <w:rFonts w:asciiTheme="minorHAnsi" w:hAnsiTheme="minorHAnsi"/>
                <w:szCs w:val="22"/>
              </w:rPr>
              <w:t xml:space="preserve">Liczba użytkowników infrastruktury przedszkolnej  wspartej w programie </w:t>
            </w:r>
          </w:p>
        </w:tc>
        <w:tc>
          <w:tcPr>
            <w:tcW w:w="491" w:type="pct"/>
          </w:tcPr>
          <w:p w:rsidR="005A1857" w:rsidRPr="00911273" w:rsidRDefault="0061737E" w:rsidP="007650AC">
            <w:pPr>
              <w:spacing w:line="240" w:lineRule="auto"/>
              <w:jc w:val="both"/>
              <w:rPr>
                <w:rFonts w:asciiTheme="minorHAnsi" w:hAnsiTheme="minorHAnsi"/>
                <w:szCs w:val="22"/>
              </w:rPr>
            </w:pPr>
            <w:r>
              <w:rPr>
                <w:rFonts w:asciiTheme="minorHAnsi" w:hAnsiTheme="minorHAnsi"/>
                <w:szCs w:val="22"/>
              </w:rPr>
              <w:t>osoby</w:t>
            </w:r>
          </w:p>
        </w:tc>
        <w:tc>
          <w:tcPr>
            <w:tcW w:w="2425" w:type="pct"/>
            <w:shd w:val="clear" w:color="auto" w:fill="auto"/>
          </w:tcPr>
          <w:p w:rsidR="00982504" w:rsidRPr="00982504" w:rsidRDefault="00982504" w:rsidP="00982504">
            <w:pPr>
              <w:autoSpaceDE w:val="0"/>
              <w:autoSpaceDN w:val="0"/>
              <w:adjustRightInd w:val="0"/>
              <w:spacing w:before="0" w:line="240"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L</w:t>
            </w:r>
            <w:r w:rsidRPr="00982504">
              <w:rPr>
                <w:rFonts w:asciiTheme="minorHAnsi" w:eastAsiaTheme="minorHAnsi" w:hAnsiTheme="minorHAnsi" w:cs="Arial"/>
                <w:szCs w:val="22"/>
                <w:lang w:eastAsia="en-US"/>
              </w:rPr>
              <w:t>iczba użytko</w:t>
            </w:r>
            <w:r>
              <w:rPr>
                <w:rFonts w:asciiTheme="minorHAnsi" w:eastAsiaTheme="minorHAnsi" w:hAnsiTheme="minorHAnsi" w:cs="Arial"/>
                <w:szCs w:val="22"/>
                <w:lang w:eastAsia="en-US"/>
              </w:rPr>
              <w:t xml:space="preserve">wników, którzy mogą korzystać ze wspartej w wyniku projektu </w:t>
            </w:r>
            <w:r w:rsidRPr="00982504">
              <w:rPr>
                <w:rFonts w:asciiTheme="minorHAnsi" w:eastAsiaTheme="minorHAnsi" w:hAnsiTheme="minorHAnsi" w:cs="Arial"/>
                <w:szCs w:val="22"/>
                <w:lang w:eastAsia="en-US"/>
              </w:rPr>
              <w:t xml:space="preserve">infrastruktury </w:t>
            </w:r>
            <w:r w:rsidR="008B673D">
              <w:rPr>
                <w:rFonts w:asciiTheme="minorHAnsi" w:eastAsiaTheme="minorHAnsi" w:hAnsiTheme="minorHAnsi" w:cs="Arial"/>
                <w:szCs w:val="22"/>
                <w:lang w:eastAsia="en-US"/>
              </w:rPr>
              <w:t>przedszkolnej</w:t>
            </w:r>
          </w:p>
          <w:p w:rsidR="005A1857" w:rsidRDefault="00982504" w:rsidP="00982504">
            <w:pPr>
              <w:spacing w:line="240" w:lineRule="auto"/>
              <w:jc w:val="both"/>
              <w:rPr>
                <w:rFonts w:asciiTheme="minorHAnsi" w:eastAsiaTheme="minorHAnsi" w:hAnsiTheme="minorHAnsi" w:cs="Arial"/>
                <w:szCs w:val="22"/>
                <w:lang w:eastAsia="en-US"/>
              </w:rPr>
            </w:pPr>
            <w:r w:rsidRPr="00982504">
              <w:rPr>
                <w:rFonts w:asciiTheme="minorHAnsi" w:eastAsiaTheme="minorHAnsi" w:hAnsiTheme="minorHAnsi" w:cs="Arial"/>
                <w:szCs w:val="22"/>
                <w:lang w:eastAsia="en-US"/>
              </w:rPr>
              <w:t>Przez użytkowników w tym kontekście należy rozumieć dzieci przedszkolne, nie należy uwzględniać nauczycieli, rodziców lub inne osoby, które mogą korzystać</w:t>
            </w:r>
            <w:r w:rsidR="007E26CB">
              <w:rPr>
                <w:rFonts w:asciiTheme="minorHAnsi" w:eastAsiaTheme="minorHAnsi" w:hAnsiTheme="minorHAnsi" w:cs="Arial"/>
                <w:szCs w:val="22"/>
                <w:lang w:eastAsia="en-US"/>
              </w:rPr>
              <w:t xml:space="preserve"> z infrastruktury.</w:t>
            </w:r>
          </w:p>
          <w:p w:rsidR="007E26CB" w:rsidRPr="00911273" w:rsidRDefault="007E26CB" w:rsidP="00982504">
            <w:pPr>
              <w:spacing w:line="240" w:lineRule="auto"/>
              <w:jc w:val="both"/>
              <w:rPr>
                <w:rFonts w:asciiTheme="minorHAnsi" w:hAnsiTheme="minorHAnsi"/>
                <w:szCs w:val="22"/>
              </w:rPr>
            </w:pPr>
            <w:r w:rsidRPr="007E26CB">
              <w:rPr>
                <w:rFonts w:asciiTheme="minorHAnsi" w:hAnsiTheme="minorHAnsi"/>
                <w:szCs w:val="22"/>
              </w:rPr>
              <w:t>Wskaźnik dotyczy nowych lub udoskonalonych budynków, lub noweg</w:t>
            </w:r>
            <w:r w:rsidR="005615C8">
              <w:rPr>
                <w:rFonts w:asciiTheme="minorHAnsi" w:hAnsiTheme="minorHAnsi"/>
                <w:szCs w:val="22"/>
              </w:rPr>
              <w:t>o doposażenia w ramach projektu.</w:t>
            </w:r>
          </w:p>
        </w:tc>
        <w:tc>
          <w:tcPr>
            <w:tcW w:w="964" w:type="pct"/>
          </w:tcPr>
          <w:p w:rsidR="005A1857" w:rsidRDefault="0061737E" w:rsidP="007650AC">
            <w:pPr>
              <w:spacing w:line="240" w:lineRule="auto"/>
              <w:jc w:val="both"/>
              <w:rPr>
                <w:rFonts w:asciiTheme="minorHAnsi" w:hAnsiTheme="minorHAnsi"/>
                <w:szCs w:val="22"/>
              </w:rPr>
            </w:pPr>
            <w:r w:rsidRPr="0061737E">
              <w:rPr>
                <w:rFonts w:asciiTheme="minorHAnsi" w:hAnsiTheme="minorHAnsi"/>
                <w:szCs w:val="22"/>
              </w:rPr>
              <w:t>RPO</w:t>
            </w:r>
            <w:r w:rsidR="00002E70">
              <w:t xml:space="preserve"> </w:t>
            </w:r>
            <w:r w:rsidR="00002E70" w:rsidRPr="00002E70">
              <w:rPr>
                <w:rFonts w:asciiTheme="minorHAnsi" w:hAnsiTheme="minorHAnsi"/>
                <w:szCs w:val="22"/>
              </w:rPr>
              <w:t>WD 2014-2020</w:t>
            </w:r>
          </w:p>
        </w:tc>
      </w:tr>
      <w:tr w:rsidR="00380861" w:rsidRPr="00911273" w:rsidTr="008554A8">
        <w:trPr>
          <w:trHeight w:val="20"/>
          <w:jc w:val="center"/>
        </w:trPr>
        <w:tc>
          <w:tcPr>
            <w:tcW w:w="1120" w:type="pct"/>
            <w:shd w:val="clear" w:color="auto" w:fill="auto"/>
            <w:vAlign w:val="center"/>
          </w:tcPr>
          <w:p w:rsidR="00380861" w:rsidRPr="00911273" w:rsidRDefault="00380861" w:rsidP="00521EB7">
            <w:pPr>
              <w:spacing w:before="0" w:line="240" w:lineRule="auto"/>
              <w:rPr>
                <w:rFonts w:asciiTheme="minorHAnsi" w:eastAsiaTheme="minorHAnsi" w:hAnsiTheme="minorHAnsi"/>
                <w:szCs w:val="22"/>
                <w:lang w:eastAsia="en-US"/>
              </w:rPr>
            </w:pPr>
            <w:r w:rsidRPr="00911273">
              <w:rPr>
                <w:rFonts w:asciiTheme="minorHAnsi" w:eastAsiaTheme="minorHAnsi" w:hAnsiTheme="minorHAnsi"/>
                <w:szCs w:val="22"/>
                <w:lang w:eastAsia="en-US"/>
              </w:rPr>
              <w:t>Liczba obiektów dostosowanych do potrzeb osób z niepełnosprawnościami</w:t>
            </w:r>
          </w:p>
        </w:tc>
        <w:tc>
          <w:tcPr>
            <w:tcW w:w="491" w:type="pct"/>
            <w:vAlign w:val="center"/>
          </w:tcPr>
          <w:p w:rsidR="00380861" w:rsidRPr="00911273" w:rsidRDefault="00380861" w:rsidP="00521EB7">
            <w:pPr>
              <w:spacing w:before="0" w:line="240" w:lineRule="auto"/>
              <w:rPr>
                <w:rFonts w:asciiTheme="minorHAnsi" w:eastAsiaTheme="minorHAnsi" w:hAnsiTheme="minorHAnsi"/>
                <w:szCs w:val="22"/>
                <w:lang w:eastAsia="en-US"/>
              </w:rPr>
            </w:pPr>
            <w:r>
              <w:rPr>
                <w:rFonts w:asciiTheme="minorHAnsi" w:eastAsiaTheme="minorHAnsi" w:hAnsiTheme="minorHAnsi"/>
                <w:szCs w:val="22"/>
                <w:lang w:eastAsia="en-US"/>
              </w:rPr>
              <w:t>s</w:t>
            </w:r>
            <w:r w:rsidRPr="00911273">
              <w:rPr>
                <w:rFonts w:asciiTheme="minorHAnsi" w:eastAsiaTheme="minorHAnsi" w:hAnsiTheme="minorHAnsi"/>
                <w:szCs w:val="22"/>
                <w:lang w:eastAsia="en-US"/>
              </w:rPr>
              <w:t>zt</w:t>
            </w:r>
            <w:r>
              <w:rPr>
                <w:rFonts w:asciiTheme="minorHAnsi" w:eastAsiaTheme="minorHAnsi" w:hAnsiTheme="minorHAnsi"/>
                <w:szCs w:val="22"/>
                <w:lang w:eastAsia="en-US"/>
              </w:rPr>
              <w:t>.</w:t>
            </w:r>
          </w:p>
        </w:tc>
        <w:tc>
          <w:tcPr>
            <w:tcW w:w="2425" w:type="pct"/>
            <w:shd w:val="clear" w:color="auto" w:fill="auto"/>
          </w:tcPr>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 xml:space="preserve">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w:t>
            </w:r>
            <w:r w:rsidRPr="00911273">
              <w:rPr>
                <w:rFonts w:asciiTheme="minorHAnsi" w:eastAsiaTheme="minorHAnsi" w:hAnsiTheme="minorHAnsi"/>
                <w:szCs w:val="22"/>
                <w:lang w:eastAsia="en-US"/>
              </w:rPr>
              <w:lastRenderedPageBreak/>
              <w:t>niepełnosprawnym ruchowo czy sensorycznie.</w:t>
            </w:r>
          </w:p>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Jako obiekty budowlane należy rozumieć konstrukcje połączone z gruntem w sposób trwały, wykonane z materiałów budowlanych i elementów składowych, będące wynikiem prac budowlanych (wg. def. PKOB).</w:t>
            </w:r>
          </w:p>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Należy podać liczbę obiektów, a nie sprzętów, urządzeń itp., w które obiekty zaopatrzono.</w:t>
            </w:r>
          </w:p>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Jeśli instytucja, zakład itp. składa się z kilku obiektów, należy zliczyć wszystkie, które dostosowano do potrzeb osób niepełnosprawnych.</w:t>
            </w:r>
          </w:p>
        </w:tc>
        <w:tc>
          <w:tcPr>
            <w:tcW w:w="964" w:type="pct"/>
          </w:tcPr>
          <w:p w:rsidR="00380861" w:rsidRPr="0061737E" w:rsidRDefault="000B05C7" w:rsidP="007650AC">
            <w:pPr>
              <w:spacing w:line="240" w:lineRule="auto"/>
              <w:jc w:val="both"/>
              <w:rPr>
                <w:rFonts w:asciiTheme="minorHAnsi" w:hAnsiTheme="minorHAnsi"/>
                <w:szCs w:val="22"/>
              </w:rPr>
            </w:pPr>
            <w:r>
              <w:rPr>
                <w:rFonts w:asciiTheme="minorHAnsi" w:hAnsiTheme="minorHAnsi"/>
                <w:szCs w:val="22"/>
              </w:rPr>
              <w:lastRenderedPageBreak/>
              <w:t>Horyzontalny</w:t>
            </w:r>
          </w:p>
        </w:tc>
      </w:tr>
      <w:tr w:rsidR="00380861" w:rsidRPr="00911273" w:rsidTr="008554A8">
        <w:trPr>
          <w:trHeight w:val="20"/>
          <w:jc w:val="center"/>
        </w:trPr>
        <w:tc>
          <w:tcPr>
            <w:tcW w:w="1120" w:type="pct"/>
            <w:shd w:val="clear" w:color="auto" w:fill="auto"/>
          </w:tcPr>
          <w:p w:rsidR="00380861" w:rsidRPr="00911273" w:rsidRDefault="00380861" w:rsidP="00521EB7">
            <w:pPr>
              <w:spacing w:before="0" w:line="240" w:lineRule="auto"/>
              <w:rPr>
                <w:rFonts w:asciiTheme="minorHAnsi" w:eastAsiaTheme="minorHAnsi" w:hAnsiTheme="minorHAnsi"/>
                <w:szCs w:val="22"/>
                <w:lang w:eastAsia="en-US"/>
              </w:rPr>
            </w:pPr>
            <w:r w:rsidRPr="00911273">
              <w:rPr>
                <w:rFonts w:asciiTheme="minorHAnsi" w:eastAsiaTheme="minorHAnsi" w:hAnsiTheme="minorHAnsi"/>
                <w:szCs w:val="22"/>
                <w:lang w:eastAsia="en-US"/>
              </w:rPr>
              <w:lastRenderedPageBreak/>
              <w:t>Liczba osób objętych szkoleniami / doradztwem w zakresie kompetencji cyfrowych</w:t>
            </w:r>
            <w:r>
              <w:rPr>
                <w:rFonts w:asciiTheme="minorHAnsi" w:eastAsiaTheme="minorHAnsi" w:hAnsiTheme="minorHAnsi"/>
                <w:szCs w:val="22"/>
                <w:lang w:eastAsia="en-US"/>
              </w:rPr>
              <w:t xml:space="preserve"> O/K/M</w:t>
            </w:r>
          </w:p>
        </w:tc>
        <w:tc>
          <w:tcPr>
            <w:tcW w:w="491" w:type="pct"/>
          </w:tcPr>
          <w:p w:rsidR="00380861" w:rsidRPr="00911273" w:rsidRDefault="00380861" w:rsidP="00521EB7">
            <w:pPr>
              <w:spacing w:before="0" w:line="240" w:lineRule="auto"/>
              <w:rPr>
                <w:rFonts w:asciiTheme="minorHAnsi" w:eastAsiaTheme="minorHAnsi" w:hAnsiTheme="minorHAnsi"/>
                <w:szCs w:val="22"/>
                <w:lang w:eastAsia="en-US"/>
              </w:rPr>
            </w:pPr>
            <w:r>
              <w:rPr>
                <w:rFonts w:asciiTheme="minorHAnsi" w:eastAsiaTheme="minorHAnsi" w:hAnsiTheme="minorHAnsi"/>
                <w:szCs w:val="22"/>
                <w:lang w:eastAsia="en-US"/>
              </w:rPr>
              <w:t>o</w:t>
            </w:r>
            <w:r w:rsidRPr="00911273">
              <w:rPr>
                <w:rFonts w:asciiTheme="minorHAnsi" w:eastAsiaTheme="minorHAnsi" w:hAnsiTheme="minorHAnsi"/>
                <w:szCs w:val="22"/>
                <w:lang w:eastAsia="en-US"/>
              </w:rPr>
              <w:t>s</w:t>
            </w:r>
            <w:r>
              <w:rPr>
                <w:rFonts w:asciiTheme="minorHAnsi" w:eastAsiaTheme="minorHAnsi" w:hAnsiTheme="minorHAnsi"/>
                <w:szCs w:val="22"/>
                <w:lang w:eastAsia="en-US"/>
              </w:rPr>
              <w:t>.</w:t>
            </w:r>
          </w:p>
        </w:tc>
        <w:tc>
          <w:tcPr>
            <w:tcW w:w="2425" w:type="pct"/>
            <w:shd w:val="clear" w:color="auto" w:fill="auto"/>
          </w:tcPr>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11273">
              <w:rPr>
                <w:rFonts w:asciiTheme="minorHAnsi" w:eastAsiaTheme="minorHAnsi" w:hAnsiTheme="minorHAnsi"/>
                <w:szCs w:val="22"/>
                <w:lang w:eastAsia="en-US"/>
              </w:rPr>
              <w:t>internetu</w:t>
            </w:r>
            <w:proofErr w:type="spellEnd"/>
            <w:r w:rsidRPr="00911273">
              <w:rPr>
                <w:rFonts w:asciiTheme="minorHAnsi" w:eastAsiaTheme="minorHAnsi" w:hAnsiTheme="minorHAnsi"/>
                <w:szCs w:val="22"/>
                <w:lang w:eastAsia="en-US"/>
              </w:rPr>
              <w:t xml:space="preserve"> oraz kompetencji ściśle informatycznych (np. programowanie, zarządzanie bazami danych, administracja sieciami, administracja witrynami internetowymi). </w:t>
            </w:r>
          </w:p>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szCs w:val="22"/>
                <w:lang w:eastAsia="en-US"/>
              </w:rPr>
              <w:t>Wskaźnik ma agregować wszystkie osoby objęte wsparciem w zakresie TIK we wszystkich programach i projektach, także tych, gdzie szkolenie dotyczy obsługi specyficznego systemu teleinformatycznego, którego wdrożenia dotyczy projekt. Taka sytuacja może wystąpić przy cross-</w:t>
            </w:r>
            <w:proofErr w:type="spellStart"/>
            <w:r w:rsidRPr="00911273">
              <w:rPr>
                <w:rFonts w:asciiTheme="minorHAnsi" w:eastAsiaTheme="minorHAnsi" w:hAnsiTheme="minorHAnsi"/>
                <w:szCs w:val="22"/>
                <w:lang w:eastAsia="en-US"/>
              </w:rPr>
              <w:t>financingu</w:t>
            </w:r>
            <w:proofErr w:type="spellEnd"/>
            <w:r w:rsidRPr="00911273">
              <w:rPr>
                <w:rFonts w:asciiTheme="minorHAnsi" w:eastAsiaTheme="minorHAnsi" w:hAnsiTheme="minorHAnsi"/>
                <w:szCs w:val="22"/>
                <w:lang w:eastAsia="en-US"/>
              </w:rPr>
              <w:t xml:space="preserve"> w projektach POPC i RPO dotyczących e-usług publicznych, ale również np. w POIŚ przy okazji wdrażania inteligentnych systemów transportowych. Identyfikacja charakteru i zakresu nabywanych kompetencji będzie możliwa dzięki możliwości pogrupowania wskaźnika według programów, osi priorytetowych i priorytetów inwestycyjnych.</w:t>
            </w:r>
          </w:p>
        </w:tc>
        <w:tc>
          <w:tcPr>
            <w:tcW w:w="964" w:type="pct"/>
          </w:tcPr>
          <w:p w:rsidR="00380861" w:rsidRPr="0061737E" w:rsidRDefault="000B05C7" w:rsidP="007650AC">
            <w:pPr>
              <w:spacing w:line="240" w:lineRule="auto"/>
              <w:jc w:val="both"/>
              <w:rPr>
                <w:rFonts w:asciiTheme="minorHAnsi" w:hAnsiTheme="minorHAnsi"/>
                <w:szCs w:val="22"/>
              </w:rPr>
            </w:pPr>
            <w:r w:rsidRPr="000B05C7">
              <w:rPr>
                <w:rFonts w:asciiTheme="minorHAnsi" w:hAnsiTheme="minorHAnsi"/>
                <w:szCs w:val="22"/>
              </w:rPr>
              <w:t>Horyzontalny</w:t>
            </w:r>
          </w:p>
        </w:tc>
      </w:tr>
      <w:tr w:rsidR="00380861" w:rsidRPr="00911273" w:rsidTr="008554A8">
        <w:trPr>
          <w:trHeight w:val="20"/>
          <w:jc w:val="center"/>
        </w:trPr>
        <w:tc>
          <w:tcPr>
            <w:tcW w:w="1120" w:type="pct"/>
            <w:shd w:val="clear" w:color="auto" w:fill="auto"/>
          </w:tcPr>
          <w:p w:rsidR="00380861" w:rsidRPr="00911273" w:rsidRDefault="00380861" w:rsidP="00521EB7">
            <w:pPr>
              <w:spacing w:before="0" w:line="240" w:lineRule="auto"/>
              <w:rPr>
                <w:rFonts w:asciiTheme="minorHAnsi" w:eastAsiaTheme="minorHAnsi" w:hAnsiTheme="minorHAnsi"/>
                <w:szCs w:val="22"/>
                <w:lang w:eastAsia="en-US"/>
              </w:rPr>
            </w:pPr>
            <w:r w:rsidRPr="00911273">
              <w:rPr>
                <w:rFonts w:asciiTheme="minorHAnsi" w:eastAsiaTheme="minorHAnsi" w:hAnsiTheme="minorHAnsi" w:cs="Arial"/>
                <w:color w:val="000000"/>
                <w:szCs w:val="22"/>
                <w:lang w:eastAsia="en-US"/>
              </w:rPr>
              <w:t>Liczba projektów, w których sfinansowano koszty racjonalnych usprawnień dla osób z niepełnosprawnościami</w:t>
            </w:r>
          </w:p>
        </w:tc>
        <w:tc>
          <w:tcPr>
            <w:tcW w:w="491" w:type="pct"/>
          </w:tcPr>
          <w:p w:rsidR="00380861" w:rsidRPr="00911273" w:rsidRDefault="00380861" w:rsidP="00521EB7">
            <w:pPr>
              <w:spacing w:before="0" w:line="240" w:lineRule="auto"/>
              <w:rPr>
                <w:rFonts w:asciiTheme="minorHAnsi" w:eastAsiaTheme="minorHAnsi" w:hAnsiTheme="minorHAnsi"/>
                <w:szCs w:val="22"/>
                <w:lang w:eastAsia="en-US"/>
              </w:rPr>
            </w:pPr>
            <w:r>
              <w:rPr>
                <w:rFonts w:asciiTheme="minorHAnsi" w:eastAsiaTheme="minorHAnsi" w:hAnsiTheme="minorHAnsi"/>
                <w:szCs w:val="22"/>
                <w:lang w:eastAsia="en-US"/>
              </w:rPr>
              <w:t>s</w:t>
            </w:r>
            <w:r w:rsidRPr="00911273">
              <w:rPr>
                <w:rFonts w:asciiTheme="minorHAnsi" w:eastAsiaTheme="minorHAnsi" w:hAnsiTheme="minorHAnsi"/>
                <w:szCs w:val="22"/>
                <w:lang w:eastAsia="en-US"/>
              </w:rPr>
              <w:t>zt</w:t>
            </w:r>
            <w:r>
              <w:rPr>
                <w:rFonts w:asciiTheme="minorHAnsi" w:eastAsiaTheme="minorHAnsi" w:hAnsiTheme="minorHAnsi"/>
                <w:szCs w:val="22"/>
                <w:lang w:eastAsia="en-US"/>
              </w:rPr>
              <w:t>.</w:t>
            </w:r>
            <w:r w:rsidRPr="00911273">
              <w:rPr>
                <w:rFonts w:asciiTheme="minorHAnsi" w:eastAsiaTheme="minorHAnsi" w:hAnsiTheme="minorHAnsi"/>
                <w:szCs w:val="22"/>
                <w:lang w:eastAsia="en-US"/>
              </w:rPr>
              <w:t xml:space="preserve"> </w:t>
            </w:r>
          </w:p>
        </w:tc>
        <w:tc>
          <w:tcPr>
            <w:tcW w:w="2425" w:type="pct"/>
            <w:shd w:val="clear" w:color="auto" w:fill="auto"/>
          </w:tcPr>
          <w:p w:rsidR="00380861" w:rsidRPr="00911273" w:rsidRDefault="00380861" w:rsidP="00521EB7">
            <w:pPr>
              <w:autoSpaceDE w:val="0"/>
              <w:autoSpaceDN w:val="0"/>
              <w:adjustRightInd w:val="0"/>
              <w:spacing w:before="0" w:line="240" w:lineRule="auto"/>
              <w:jc w:val="both"/>
              <w:rPr>
                <w:rFonts w:asciiTheme="minorHAnsi" w:eastAsiaTheme="minorHAnsi" w:hAnsiTheme="minorHAnsi" w:cs="Arial"/>
                <w:color w:val="000000"/>
                <w:szCs w:val="22"/>
                <w:lang w:eastAsia="en-US"/>
              </w:rPr>
            </w:pPr>
            <w:r w:rsidRPr="00911273">
              <w:rPr>
                <w:rFonts w:asciiTheme="minorHAnsi" w:eastAsiaTheme="minorHAnsi" w:hAnsiTheme="minorHAnsi" w:cs="Arial"/>
                <w:color w:val="000000"/>
                <w:szCs w:val="22"/>
                <w:lang w:eastAsia="en-US"/>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t>
            </w:r>
          </w:p>
          <w:p w:rsidR="00380861" w:rsidRPr="00911273" w:rsidRDefault="00380861" w:rsidP="00521EB7">
            <w:pPr>
              <w:autoSpaceDE w:val="0"/>
              <w:autoSpaceDN w:val="0"/>
              <w:adjustRightInd w:val="0"/>
              <w:spacing w:before="0" w:line="240" w:lineRule="auto"/>
              <w:jc w:val="both"/>
              <w:rPr>
                <w:rFonts w:asciiTheme="minorHAnsi" w:eastAsiaTheme="minorHAnsi" w:hAnsiTheme="minorHAnsi" w:cs="Arial"/>
                <w:color w:val="000000"/>
                <w:szCs w:val="22"/>
                <w:lang w:eastAsia="en-US"/>
              </w:rPr>
            </w:pPr>
            <w:r w:rsidRPr="00911273">
              <w:rPr>
                <w:rFonts w:asciiTheme="minorHAnsi" w:eastAsiaTheme="minorHAnsi" w:hAnsiTheme="minorHAnsi" w:cs="Arial"/>
                <w:color w:val="000000"/>
                <w:szCs w:val="22"/>
                <w:lang w:eastAsia="en-US"/>
              </w:rPr>
              <w:lastRenderedPageBreak/>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rsidR="00380861" w:rsidRPr="00911273" w:rsidRDefault="00380861" w:rsidP="00521EB7">
            <w:pPr>
              <w:spacing w:before="0" w:line="240" w:lineRule="auto"/>
              <w:jc w:val="both"/>
              <w:rPr>
                <w:rFonts w:asciiTheme="minorHAnsi" w:eastAsiaTheme="minorHAnsi" w:hAnsiTheme="minorHAnsi"/>
                <w:szCs w:val="22"/>
                <w:lang w:eastAsia="en-US"/>
              </w:rPr>
            </w:pPr>
            <w:r w:rsidRPr="00911273">
              <w:rPr>
                <w:rFonts w:asciiTheme="minorHAnsi" w:eastAsiaTheme="minorHAnsi" w:hAnsiTheme="minorHAnsi" w:cs="Arial"/>
                <w:color w:val="000000"/>
                <w:szCs w:val="22"/>
                <w:lang w:eastAsia="en-US"/>
              </w:rPr>
              <w:t xml:space="preserve">Definicja na podstawie </w:t>
            </w:r>
            <w:r w:rsidRPr="00911273">
              <w:rPr>
                <w:rFonts w:asciiTheme="minorHAnsi" w:eastAsiaTheme="minorHAnsi" w:hAnsiTheme="minorHAnsi" w:cs="Arial"/>
                <w:i/>
                <w:iCs/>
                <w:color w:val="000000"/>
                <w:szCs w:val="22"/>
                <w:lang w:eastAsia="en-US"/>
              </w:rPr>
              <w:t>Wytycznych w zakresie realizacji zasady równości szans i niedyskryminacji, w tym dostępności dla osób z niepełnosprawnościami oraz równości szans kobiet i mężczyzn w ramach funduszy unijnych na lata 2014-2020</w:t>
            </w:r>
            <w:r w:rsidRPr="00911273">
              <w:rPr>
                <w:rFonts w:asciiTheme="minorHAnsi" w:eastAsiaTheme="minorHAnsi" w:hAnsiTheme="minorHAnsi" w:cs="Arial"/>
                <w:color w:val="000000"/>
                <w:szCs w:val="22"/>
                <w:lang w:eastAsia="en-US"/>
              </w:rPr>
              <w:t>.</w:t>
            </w:r>
          </w:p>
        </w:tc>
        <w:tc>
          <w:tcPr>
            <w:tcW w:w="964" w:type="pct"/>
          </w:tcPr>
          <w:p w:rsidR="00380861" w:rsidRPr="0061737E" w:rsidRDefault="000B05C7" w:rsidP="007650AC">
            <w:pPr>
              <w:spacing w:line="240" w:lineRule="auto"/>
              <w:jc w:val="both"/>
              <w:rPr>
                <w:rFonts w:asciiTheme="minorHAnsi" w:hAnsiTheme="minorHAnsi"/>
                <w:szCs w:val="22"/>
              </w:rPr>
            </w:pPr>
            <w:r w:rsidRPr="000B05C7">
              <w:rPr>
                <w:rFonts w:asciiTheme="minorHAnsi" w:hAnsiTheme="minorHAnsi"/>
                <w:szCs w:val="22"/>
              </w:rPr>
              <w:lastRenderedPageBreak/>
              <w:t>Horyzontalny</w:t>
            </w:r>
          </w:p>
        </w:tc>
      </w:tr>
    </w:tbl>
    <w:p w:rsidR="0046493A" w:rsidRPr="0046493A" w:rsidRDefault="0046493A" w:rsidP="0046493A">
      <w:pPr>
        <w:spacing w:line="240" w:lineRule="auto"/>
        <w:jc w:val="both"/>
        <w:rPr>
          <w:rFonts w:asciiTheme="minorHAnsi" w:hAnsiTheme="minorHAnsi"/>
          <w:b/>
          <w:szCs w:val="22"/>
        </w:rPr>
      </w:pPr>
      <w:r w:rsidRPr="0046493A">
        <w:rPr>
          <w:rFonts w:asciiTheme="minorHAnsi" w:hAnsiTheme="minorHAnsi"/>
          <w:b/>
          <w:szCs w:val="22"/>
          <w:u w:val="single"/>
        </w:rPr>
        <w:lastRenderedPageBreak/>
        <w:t>Wskaźniki produktu  zapisane w Strategii ZIT AJ wynikające z Porozumienia</w:t>
      </w:r>
      <w:r w:rsidRPr="0046493A">
        <w:rPr>
          <w:rFonts w:asciiTheme="minorHAnsi" w:hAnsiTheme="minorHAnsi"/>
          <w:b/>
          <w:szCs w:val="22"/>
        </w:rPr>
        <w:t xml:space="preserve"> </w:t>
      </w:r>
      <w:r w:rsidRPr="0046493A">
        <w:rPr>
          <w:rFonts w:asciiTheme="minorHAnsi" w:hAnsiTheme="minorHAnsi"/>
          <w:b/>
          <w:szCs w:val="22"/>
          <w:vertAlign w:val="superscript"/>
        </w:rPr>
        <w:footnoteReference w:id="1"/>
      </w:r>
      <w:r w:rsidRPr="0046493A">
        <w:rPr>
          <w:rFonts w:asciiTheme="minorHAnsi" w:hAnsiTheme="minorHAnsi"/>
          <w:b/>
          <w:szCs w:val="22"/>
        </w:rPr>
        <w:t>:</w:t>
      </w:r>
    </w:p>
    <w:p w:rsidR="0046493A" w:rsidRPr="0046493A" w:rsidRDefault="0046493A" w:rsidP="0046493A">
      <w:pPr>
        <w:spacing w:line="240" w:lineRule="auto"/>
        <w:jc w:val="both"/>
        <w:rPr>
          <w:rFonts w:asciiTheme="minorHAnsi" w:hAnsiTheme="minorHAnsi"/>
          <w:b/>
          <w:szCs w:val="22"/>
        </w:rPr>
      </w:pPr>
      <w:r>
        <w:rPr>
          <w:rFonts w:asciiTheme="minorHAnsi" w:hAnsiTheme="minorHAnsi"/>
          <w:b/>
          <w:szCs w:val="22"/>
        </w:rPr>
        <w:t xml:space="preserve">- </w:t>
      </w:r>
      <w:r w:rsidRPr="0046493A">
        <w:rPr>
          <w:rFonts w:asciiTheme="minorHAnsi" w:hAnsiTheme="minorHAnsi"/>
          <w:b/>
          <w:szCs w:val="22"/>
        </w:rPr>
        <w:t xml:space="preserve">Opieka nad dziećmi i edukacja: Liczba miejsc w objętej wsparciem infrastrukturze w zakresie opieki nad dziećmi lub infrastrukturze edukacyjnej (CI 35) </w:t>
      </w:r>
    </w:p>
    <w:p w:rsidR="0046493A" w:rsidRPr="0046493A" w:rsidRDefault="0046493A" w:rsidP="0046493A">
      <w:pPr>
        <w:spacing w:line="240" w:lineRule="auto"/>
        <w:jc w:val="both"/>
        <w:rPr>
          <w:rFonts w:asciiTheme="minorHAnsi" w:hAnsiTheme="minorHAnsi"/>
          <w:b/>
          <w:szCs w:val="22"/>
        </w:rPr>
      </w:pPr>
      <w:r>
        <w:rPr>
          <w:rFonts w:asciiTheme="minorHAnsi" w:hAnsiTheme="minorHAnsi"/>
          <w:b/>
          <w:szCs w:val="22"/>
        </w:rPr>
        <w:t xml:space="preserve">- </w:t>
      </w:r>
      <w:r w:rsidRPr="0046493A">
        <w:rPr>
          <w:rFonts w:asciiTheme="minorHAnsi" w:hAnsiTheme="minorHAnsi"/>
          <w:b/>
          <w:szCs w:val="22"/>
        </w:rPr>
        <w:t>Liczba wspartych obiektów infrastruktury przedszkolnej</w:t>
      </w:r>
    </w:p>
    <w:p w:rsidR="0046493A" w:rsidRDefault="0046493A" w:rsidP="0046493A">
      <w:pPr>
        <w:spacing w:line="240" w:lineRule="auto"/>
        <w:jc w:val="both"/>
        <w:rPr>
          <w:rFonts w:asciiTheme="minorHAnsi" w:hAnsiTheme="minorHAnsi"/>
          <w:b/>
          <w:szCs w:val="22"/>
        </w:rPr>
      </w:pPr>
      <w:r>
        <w:rPr>
          <w:rFonts w:asciiTheme="minorHAnsi" w:hAnsiTheme="minorHAnsi"/>
          <w:b/>
          <w:szCs w:val="22"/>
        </w:rPr>
        <w:t xml:space="preserve">- </w:t>
      </w:r>
      <w:r w:rsidRPr="0046493A">
        <w:rPr>
          <w:rFonts w:asciiTheme="minorHAnsi" w:hAnsiTheme="minorHAnsi"/>
          <w:b/>
          <w:szCs w:val="22"/>
        </w:rPr>
        <w:t>Liczba użytkowników infrastruktury przedszkolnej  wspartej w programie</w:t>
      </w:r>
    </w:p>
    <w:p w:rsidR="003D3BC5" w:rsidRDefault="008C495E" w:rsidP="007650AC">
      <w:pPr>
        <w:spacing w:line="240" w:lineRule="auto"/>
        <w:jc w:val="both"/>
        <w:rPr>
          <w:rFonts w:asciiTheme="minorHAnsi" w:hAnsiTheme="minorHAnsi" w:cs="Arial"/>
          <w:szCs w:val="22"/>
        </w:rPr>
      </w:pPr>
      <w:r w:rsidRPr="00911273">
        <w:rPr>
          <w:rFonts w:asciiTheme="minorHAnsi" w:hAnsiTheme="minorHAnsi"/>
          <w:b/>
          <w:szCs w:val="22"/>
        </w:rPr>
        <w:t>Wskaźniki rezultatu bezpośredniego</w:t>
      </w:r>
      <w:r w:rsidR="007300ED">
        <w:rPr>
          <w:rFonts w:asciiTheme="minorHAnsi" w:hAnsiTheme="minorHAnsi"/>
          <w:szCs w:val="22"/>
        </w:rPr>
        <w:t xml:space="preserve"> są to </w:t>
      </w:r>
      <w:r w:rsidR="003D3BC5" w:rsidRPr="00911273">
        <w:rPr>
          <w:rFonts w:asciiTheme="minorHAnsi" w:hAnsiTheme="minorHAnsi"/>
          <w:szCs w:val="22"/>
        </w:rPr>
        <w:t>w</w:t>
      </w:r>
      <w:r w:rsidR="003D3BC5" w:rsidRPr="00911273">
        <w:rPr>
          <w:rFonts w:asciiTheme="minorHAnsi" w:hAnsiTheme="minorHAnsi" w:cs="Arial"/>
          <w:szCs w:val="22"/>
        </w:rPr>
        <w:t>ska</w:t>
      </w:r>
      <w:r w:rsidR="003D3BC5" w:rsidRPr="003D3BC5">
        <w:rPr>
          <w:rFonts w:asciiTheme="minorHAnsi" w:hAnsiTheme="minorHAnsi" w:cs="Arial"/>
          <w:szCs w:val="22"/>
        </w:rPr>
        <w:t>źniki odnoszące się</w:t>
      </w:r>
      <w:r w:rsidR="0015486C">
        <w:rPr>
          <w:rFonts w:asciiTheme="minorHAnsi" w:hAnsiTheme="minorHAnsi" w:cs="Arial"/>
          <w:szCs w:val="22"/>
        </w:rPr>
        <w:t xml:space="preserve"> </w:t>
      </w:r>
      <w:r w:rsidR="003D3BC5" w:rsidRPr="003D3BC5">
        <w:rPr>
          <w:rFonts w:asciiTheme="minorHAnsi" w:hAnsiTheme="minorHAnsi" w:cs="Arial"/>
          <w:szCs w:val="22"/>
        </w:rPr>
        <w:t xml:space="preserve">do bezpośrednich efektów projektu, </w:t>
      </w:r>
      <w:r w:rsidR="008E3F0D">
        <w:rPr>
          <w:rFonts w:asciiTheme="minorHAnsi" w:hAnsiTheme="minorHAnsi" w:cs="Arial"/>
          <w:szCs w:val="22"/>
        </w:rPr>
        <w:t xml:space="preserve">stanowią </w:t>
      </w:r>
      <w:r w:rsidR="003D3BC5" w:rsidRPr="003D3BC5">
        <w:rPr>
          <w:rFonts w:asciiTheme="minorHAnsi" w:hAnsiTheme="minorHAnsi" w:cs="Arial"/>
          <w:szCs w:val="22"/>
        </w:rPr>
        <w:t>wynik</w:t>
      </w:r>
      <w:r w:rsidR="008E3F0D">
        <w:rPr>
          <w:rFonts w:asciiTheme="minorHAnsi" w:hAnsiTheme="minorHAnsi" w:cs="Arial"/>
          <w:szCs w:val="22"/>
        </w:rPr>
        <w:t xml:space="preserve"> realizacji</w:t>
      </w:r>
      <w:r w:rsidR="003D3BC5" w:rsidRPr="003D3BC5">
        <w:rPr>
          <w:rFonts w:asciiTheme="minorHAnsi" w:hAnsiTheme="minorHAnsi" w:cs="Arial"/>
          <w:szCs w:val="22"/>
        </w:rPr>
        <w:t xml:space="preserve"> projektu, ale mogą</w:t>
      </w:r>
      <w:r w:rsidR="003D3BC5" w:rsidRPr="00911273">
        <w:rPr>
          <w:rFonts w:asciiTheme="minorHAnsi" w:hAnsiTheme="minorHAnsi" w:cs="Arial"/>
          <w:szCs w:val="22"/>
        </w:rPr>
        <w:t xml:space="preserve"> </w:t>
      </w:r>
      <w:r w:rsidR="003D3BC5" w:rsidRPr="003D3BC5">
        <w:rPr>
          <w:rFonts w:asciiTheme="minorHAnsi" w:hAnsiTheme="minorHAnsi" w:cs="Arial"/>
          <w:szCs w:val="22"/>
        </w:rPr>
        <w:t>mieć</w:t>
      </w:r>
      <w:r w:rsidR="003D3BC5" w:rsidRPr="00911273">
        <w:rPr>
          <w:rFonts w:asciiTheme="minorHAnsi" w:hAnsiTheme="minorHAnsi" w:cs="Arial"/>
          <w:szCs w:val="22"/>
        </w:rPr>
        <w:t xml:space="preserve"> </w:t>
      </w:r>
      <w:r w:rsidR="003D3BC5" w:rsidRPr="003D3BC5">
        <w:rPr>
          <w:rFonts w:asciiTheme="minorHAnsi" w:hAnsiTheme="minorHAnsi" w:cs="Arial"/>
          <w:szCs w:val="22"/>
        </w:rPr>
        <w:t>na ni</w:t>
      </w:r>
      <w:r w:rsidR="008E3F0D">
        <w:rPr>
          <w:rFonts w:asciiTheme="minorHAnsi" w:hAnsiTheme="minorHAnsi" w:cs="Arial"/>
          <w:szCs w:val="22"/>
        </w:rPr>
        <w:t>ego</w:t>
      </w:r>
      <w:r w:rsidR="003D3BC5" w:rsidRPr="00911273">
        <w:rPr>
          <w:rFonts w:asciiTheme="minorHAnsi" w:hAnsiTheme="minorHAnsi" w:cs="Arial"/>
          <w:szCs w:val="22"/>
        </w:rPr>
        <w:t xml:space="preserve"> </w:t>
      </w:r>
      <w:r w:rsidR="003D3BC5" w:rsidRPr="003D3BC5">
        <w:rPr>
          <w:rFonts w:asciiTheme="minorHAnsi" w:hAnsiTheme="minorHAnsi" w:cs="Arial"/>
          <w:szCs w:val="22"/>
        </w:rPr>
        <w:t xml:space="preserve">wpływ także inne zewnętrzne czynniki; niepowiązane bezpośrednio z wydatkami ponoszonymi w projekcie. </w:t>
      </w:r>
      <w:r w:rsidR="007300ED">
        <w:rPr>
          <w:rFonts w:asciiTheme="minorHAnsi" w:hAnsiTheme="minorHAnsi" w:cs="Arial"/>
          <w:szCs w:val="22"/>
        </w:rPr>
        <w:t>Dostarczają informacji o zmianach jakie nastąpiły w wyniku realizacji projektu, w</w:t>
      </w:r>
      <w:r w:rsidR="00141571">
        <w:rPr>
          <w:rFonts w:asciiTheme="minorHAnsi" w:hAnsiTheme="minorHAnsi" w:cs="Arial"/>
          <w:szCs w:val="22"/>
        </w:rPr>
        <w:t> </w:t>
      </w:r>
      <w:r w:rsidR="007300ED">
        <w:rPr>
          <w:rFonts w:asciiTheme="minorHAnsi" w:hAnsiTheme="minorHAnsi" w:cs="Arial"/>
          <w:szCs w:val="22"/>
        </w:rPr>
        <w:t xml:space="preserve">porównaniu z wielkością wyjściową (bazową). Są logicznie powiązane ze wskaźnikami produktu. </w:t>
      </w:r>
      <w:r w:rsidR="000F5C98">
        <w:rPr>
          <w:rFonts w:asciiTheme="minorHAnsi" w:hAnsiTheme="minorHAnsi" w:cs="Arial"/>
          <w:szCs w:val="22"/>
        </w:rPr>
        <w:t xml:space="preserve"> Muszą być adekwatne do celu projektu.</w:t>
      </w:r>
    </w:p>
    <w:p w:rsidR="000F5C98" w:rsidRDefault="000F5C98" w:rsidP="007650AC">
      <w:pPr>
        <w:pStyle w:val="Default"/>
        <w:jc w:val="both"/>
        <w:rPr>
          <w:sz w:val="22"/>
          <w:szCs w:val="22"/>
        </w:rPr>
      </w:pPr>
    </w:p>
    <w:p w:rsidR="000F5C98" w:rsidRPr="000F5C98" w:rsidRDefault="000F5C98" w:rsidP="007650AC">
      <w:pPr>
        <w:pStyle w:val="Default"/>
        <w:jc w:val="both"/>
        <w:rPr>
          <w:rFonts w:asciiTheme="minorHAnsi" w:hAnsiTheme="minorHAnsi"/>
          <w:sz w:val="22"/>
          <w:szCs w:val="22"/>
        </w:rPr>
      </w:pPr>
      <w:r w:rsidRPr="000F5C98">
        <w:rPr>
          <w:rFonts w:asciiTheme="minorHAnsi" w:hAnsiTheme="minorHAnsi"/>
          <w:sz w:val="22"/>
          <w:szCs w:val="22"/>
        </w:rPr>
        <w:t xml:space="preserve">Dla każdego z wybranych wskaźników Wnioskodawca zobowiązany jest do wskazania </w:t>
      </w:r>
      <w:r w:rsidRPr="000F5C98">
        <w:rPr>
          <w:rFonts w:asciiTheme="minorHAnsi" w:hAnsiTheme="minorHAnsi"/>
          <w:i/>
          <w:sz w:val="22"/>
          <w:szCs w:val="22"/>
        </w:rPr>
        <w:t>„Jednostki miary”</w:t>
      </w:r>
      <w:r w:rsidRPr="000F5C98">
        <w:rPr>
          <w:rFonts w:asciiTheme="minorHAnsi" w:hAnsiTheme="minorHAnsi"/>
          <w:sz w:val="22"/>
          <w:szCs w:val="22"/>
        </w:rPr>
        <w:t xml:space="preserve">, </w:t>
      </w:r>
      <w:r w:rsidRPr="000F5C98">
        <w:rPr>
          <w:rFonts w:asciiTheme="minorHAnsi" w:hAnsiTheme="minorHAnsi"/>
          <w:i/>
          <w:sz w:val="22"/>
          <w:szCs w:val="22"/>
        </w:rPr>
        <w:t>„Wartości bazowej”</w:t>
      </w:r>
      <w:r w:rsidRPr="000F5C98">
        <w:rPr>
          <w:rFonts w:asciiTheme="minorHAnsi" w:hAnsiTheme="minorHAnsi"/>
          <w:sz w:val="22"/>
          <w:szCs w:val="22"/>
        </w:rPr>
        <w:t xml:space="preserve">, </w:t>
      </w:r>
      <w:r w:rsidRPr="000F5C98">
        <w:rPr>
          <w:rFonts w:asciiTheme="minorHAnsi" w:hAnsiTheme="minorHAnsi"/>
          <w:i/>
          <w:sz w:val="22"/>
          <w:szCs w:val="22"/>
        </w:rPr>
        <w:t>„Wartości docelowej wskaźnika”</w:t>
      </w:r>
      <w:r w:rsidRPr="000F5C98">
        <w:rPr>
          <w:rFonts w:asciiTheme="minorHAnsi" w:hAnsiTheme="minorHAnsi"/>
          <w:sz w:val="22"/>
          <w:szCs w:val="22"/>
        </w:rPr>
        <w:t xml:space="preserve">, a także </w:t>
      </w:r>
      <w:r w:rsidR="00141571">
        <w:rPr>
          <w:rFonts w:asciiTheme="minorHAnsi" w:hAnsiTheme="minorHAnsi"/>
          <w:i/>
          <w:sz w:val="22"/>
          <w:szCs w:val="22"/>
        </w:rPr>
        <w:t>„Źródła informacji o </w:t>
      </w:r>
      <w:r w:rsidRPr="000F5C98">
        <w:rPr>
          <w:rFonts w:asciiTheme="minorHAnsi" w:hAnsiTheme="minorHAnsi"/>
          <w:i/>
          <w:sz w:val="22"/>
          <w:szCs w:val="22"/>
        </w:rPr>
        <w:t>wskaźniku”</w:t>
      </w:r>
      <w:r w:rsidRPr="000F5C98">
        <w:rPr>
          <w:rFonts w:asciiTheme="minorHAnsi" w:hAnsiTheme="minorHAnsi"/>
          <w:sz w:val="22"/>
          <w:szCs w:val="22"/>
        </w:rPr>
        <w:t xml:space="preserve">. </w:t>
      </w:r>
    </w:p>
    <w:p w:rsidR="000F5C98" w:rsidRPr="000F5C98" w:rsidRDefault="000F5C98" w:rsidP="007650AC">
      <w:pPr>
        <w:pStyle w:val="Default"/>
        <w:jc w:val="both"/>
        <w:rPr>
          <w:rFonts w:asciiTheme="minorHAnsi" w:hAnsiTheme="minorHAnsi"/>
          <w:sz w:val="22"/>
          <w:szCs w:val="22"/>
        </w:rPr>
      </w:pPr>
      <w:r w:rsidRPr="000F5C98">
        <w:rPr>
          <w:rFonts w:asciiTheme="minorHAnsi" w:hAnsiTheme="minorHAnsi"/>
          <w:sz w:val="22"/>
          <w:szCs w:val="22"/>
        </w:rPr>
        <w:t>Wartość docelowa dla wskaźnika rezultatu to wyrażony liczbowo stan danego wskaźnika uzyskany w</w:t>
      </w:r>
      <w:r w:rsidR="00141571">
        <w:rPr>
          <w:rFonts w:asciiTheme="minorHAnsi" w:hAnsiTheme="minorHAnsi"/>
          <w:sz w:val="22"/>
          <w:szCs w:val="22"/>
        </w:rPr>
        <w:t> </w:t>
      </w:r>
      <w:r w:rsidRPr="000F5C98">
        <w:rPr>
          <w:rFonts w:asciiTheme="minorHAnsi" w:hAnsiTheme="minorHAnsi"/>
          <w:sz w:val="22"/>
          <w:szCs w:val="22"/>
        </w:rPr>
        <w:t xml:space="preserve">efekcie realizacji projektu </w:t>
      </w:r>
    </w:p>
    <w:p w:rsidR="007300ED" w:rsidRDefault="000F5C98" w:rsidP="00485CDD">
      <w:pPr>
        <w:autoSpaceDE w:val="0"/>
        <w:autoSpaceDN w:val="0"/>
        <w:adjustRightInd w:val="0"/>
        <w:spacing w:before="0" w:line="240" w:lineRule="auto"/>
        <w:jc w:val="both"/>
        <w:rPr>
          <w:rFonts w:asciiTheme="minorHAnsi" w:hAnsiTheme="minorHAnsi"/>
        </w:rPr>
      </w:pPr>
      <w:r w:rsidRPr="000F5C98">
        <w:rPr>
          <w:rFonts w:asciiTheme="minorHAnsi" w:hAnsiTheme="minorHAnsi"/>
        </w:rPr>
        <w:t>Jako źródło informacji o wskaźniku wskazać należy odpowiedni dokument (np.</w:t>
      </w:r>
      <w:r w:rsidR="00726AC4" w:rsidRPr="00726AC4">
        <w:t xml:space="preserve"> </w:t>
      </w:r>
      <w:r w:rsidR="00726AC4" w:rsidRPr="00726AC4">
        <w:rPr>
          <w:rFonts w:asciiTheme="minorHAnsi" w:hAnsiTheme="minorHAnsi"/>
        </w:rPr>
        <w:t>ewidencja zatrudnienia</w:t>
      </w:r>
      <w:r w:rsidRPr="000F5C98">
        <w:rPr>
          <w:rFonts w:asciiTheme="minorHAnsi" w:hAnsiTheme="minorHAnsi"/>
        </w:rPr>
        <w:t>).</w:t>
      </w:r>
    </w:p>
    <w:p w:rsidR="008554A8" w:rsidRPr="00911273" w:rsidRDefault="008554A8" w:rsidP="008554A8">
      <w:pPr>
        <w:autoSpaceDE w:val="0"/>
        <w:autoSpaceDN w:val="0"/>
        <w:adjustRightInd w:val="0"/>
        <w:spacing w:before="120" w:after="120" w:line="240" w:lineRule="auto"/>
        <w:jc w:val="both"/>
        <w:rPr>
          <w:rFonts w:asciiTheme="minorHAnsi" w:hAnsiTheme="minorHAnsi"/>
          <w:szCs w:val="22"/>
        </w:rPr>
      </w:pPr>
      <w:r w:rsidRPr="0044238B">
        <w:rPr>
          <w:rFonts w:asciiTheme="minorHAnsi" w:hAnsiTheme="minorHAnsi"/>
          <w:szCs w:val="22"/>
        </w:rPr>
        <w:t xml:space="preserve">W ramach Działania 7.1 </w:t>
      </w:r>
      <w:r w:rsidR="00D57D29" w:rsidRPr="00D57D29">
        <w:rPr>
          <w:rFonts w:asciiTheme="minorHAnsi" w:hAnsiTheme="minorHAnsi"/>
          <w:szCs w:val="22"/>
        </w:rPr>
        <w:t xml:space="preserve">określono poniższe wskaźniki </w:t>
      </w:r>
      <w:r w:rsidR="00D57D29" w:rsidRPr="00D57D29">
        <w:rPr>
          <w:rFonts w:asciiTheme="minorHAnsi" w:hAnsiTheme="minorHAnsi"/>
          <w:b/>
          <w:szCs w:val="22"/>
        </w:rPr>
        <w:t>rezultatu bezpośredniego</w:t>
      </w:r>
    </w:p>
    <w:p w:rsidR="008554A8" w:rsidRDefault="008554A8" w:rsidP="00485CDD">
      <w:pPr>
        <w:autoSpaceDE w:val="0"/>
        <w:autoSpaceDN w:val="0"/>
        <w:adjustRightInd w:val="0"/>
        <w:spacing w:before="0" w:line="240" w:lineRule="auto"/>
        <w:jc w:val="both"/>
        <w:rPr>
          <w:rFonts w:asciiTheme="minorHAnsi" w:hAnsiTheme="minorHAnsi"/>
        </w:rPr>
      </w:pPr>
    </w:p>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08"/>
        <w:gridCol w:w="1302"/>
        <w:gridCol w:w="3829"/>
        <w:gridCol w:w="1949"/>
      </w:tblGrid>
      <w:tr w:rsidR="008554A8" w:rsidRPr="00911273" w:rsidTr="00521EB7">
        <w:trPr>
          <w:trHeight w:val="20"/>
          <w:jc w:val="center"/>
        </w:trPr>
        <w:tc>
          <w:tcPr>
            <w:tcW w:w="1189" w:type="pct"/>
            <w:shd w:val="clear" w:color="auto" w:fill="auto"/>
            <w:vAlign w:val="center"/>
          </w:tcPr>
          <w:p w:rsidR="008554A8" w:rsidRPr="00911273" w:rsidRDefault="008554A8" w:rsidP="00521EB7">
            <w:pPr>
              <w:spacing w:before="0" w:line="240" w:lineRule="auto"/>
              <w:jc w:val="center"/>
              <w:rPr>
                <w:rFonts w:asciiTheme="minorHAnsi" w:hAnsiTheme="minorHAnsi"/>
                <w:b/>
                <w:szCs w:val="22"/>
              </w:rPr>
            </w:pPr>
            <w:r w:rsidRPr="00911273">
              <w:rPr>
                <w:rFonts w:asciiTheme="minorHAnsi" w:hAnsiTheme="minorHAnsi"/>
                <w:b/>
                <w:szCs w:val="22"/>
              </w:rPr>
              <w:t xml:space="preserve">Nazwa wskaźnika </w:t>
            </w:r>
            <w:r w:rsidRPr="006A09F0">
              <w:rPr>
                <w:rFonts w:asciiTheme="minorHAnsi" w:hAnsiTheme="minorHAnsi"/>
                <w:b/>
                <w:szCs w:val="22"/>
              </w:rPr>
              <w:t>rezultatu bezpośredniego</w:t>
            </w:r>
          </w:p>
        </w:tc>
        <w:tc>
          <w:tcPr>
            <w:tcW w:w="701" w:type="pct"/>
          </w:tcPr>
          <w:p w:rsidR="008554A8" w:rsidRPr="00911273" w:rsidRDefault="008554A8" w:rsidP="00521EB7">
            <w:pPr>
              <w:suppressAutoHyphens/>
              <w:spacing w:before="0" w:line="240" w:lineRule="auto"/>
              <w:jc w:val="center"/>
              <w:rPr>
                <w:rFonts w:asciiTheme="minorHAnsi" w:hAnsiTheme="minorHAnsi"/>
                <w:b/>
                <w:bCs/>
                <w:szCs w:val="22"/>
              </w:rPr>
            </w:pPr>
            <w:r w:rsidRPr="00911273">
              <w:rPr>
                <w:rFonts w:asciiTheme="minorHAnsi" w:hAnsiTheme="minorHAnsi"/>
                <w:b/>
                <w:bCs/>
                <w:szCs w:val="22"/>
              </w:rPr>
              <w:t>Jednostka miary</w:t>
            </w:r>
          </w:p>
        </w:tc>
        <w:tc>
          <w:tcPr>
            <w:tcW w:w="2061" w:type="pct"/>
            <w:shd w:val="clear" w:color="auto" w:fill="auto"/>
            <w:vAlign w:val="center"/>
          </w:tcPr>
          <w:p w:rsidR="008554A8" w:rsidRPr="00911273" w:rsidRDefault="008554A8" w:rsidP="00521EB7">
            <w:pPr>
              <w:suppressAutoHyphens/>
              <w:spacing w:before="0" w:line="240" w:lineRule="auto"/>
              <w:jc w:val="center"/>
              <w:rPr>
                <w:rFonts w:asciiTheme="minorHAnsi" w:hAnsiTheme="minorHAnsi"/>
                <w:b/>
                <w:szCs w:val="22"/>
              </w:rPr>
            </w:pPr>
            <w:r w:rsidRPr="00911273">
              <w:rPr>
                <w:rFonts w:asciiTheme="minorHAnsi" w:hAnsiTheme="minorHAnsi"/>
                <w:b/>
                <w:bCs/>
                <w:szCs w:val="22"/>
              </w:rPr>
              <w:t>Definicja wskaźnika</w:t>
            </w:r>
          </w:p>
        </w:tc>
        <w:tc>
          <w:tcPr>
            <w:tcW w:w="1049" w:type="pct"/>
          </w:tcPr>
          <w:p w:rsidR="008554A8" w:rsidRPr="00911273" w:rsidRDefault="008554A8" w:rsidP="00521EB7">
            <w:pPr>
              <w:suppressAutoHyphens/>
              <w:spacing w:before="0" w:line="240" w:lineRule="auto"/>
              <w:jc w:val="center"/>
              <w:rPr>
                <w:rFonts w:asciiTheme="minorHAnsi" w:hAnsiTheme="minorHAnsi"/>
                <w:b/>
                <w:bCs/>
                <w:szCs w:val="22"/>
              </w:rPr>
            </w:pPr>
            <w:r>
              <w:rPr>
                <w:rFonts w:asciiTheme="minorHAnsi" w:hAnsiTheme="minorHAnsi"/>
                <w:b/>
                <w:bCs/>
                <w:szCs w:val="22"/>
              </w:rPr>
              <w:t>Rodzaj dokumentu, w którym określono wskaźnik</w:t>
            </w:r>
          </w:p>
        </w:tc>
      </w:tr>
      <w:tr w:rsidR="00B61B7A" w:rsidRPr="00911273" w:rsidTr="000F189D">
        <w:trPr>
          <w:trHeight w:val="20"/>
          <w:jc w:val="center"/>
        </w:trPr>
        <w:tc>
          <w:tcPr>
            <w:tcW w:w="1189" w:type="pct"/>
            <w:shd w:val="clear" w:color="auto" w:fill="auto"/>
          </w:tcPr>
          <w:p w:rsidR="00B61B7A" w:rsidRPr="00911273" w:rsidRDefault="00B61B7A" w:rsidP="00521EB7">
            <w:pPr>
              <w:pStyle w:val="Default"/>
              <w:rPr>
                <w:rFonts w:asciiTheme="minorHAnsi" w:hAnsiTheme="minorHAnsi" w:cs="ArialNarrow"/>
                <w:sz w:val="22"/>
                <w:szCs w:val="22"/>
              </w:rPr>
            </w:pPr>
            <w:r>
              <w:rPr>
                <w:rFonts w:asciiTheme="minorHAnsi" w:hAnsiTheme="minorHAnsi" w:cs="ArialNarrow"/>
                <w:sz w:val="22"/>
                <w:szCs w:val="22"/>
              </w:rPr>
              <w:t xml:space="preserve">Wzrost zatrudnienia we wspieranych </w:t>
            </w:r>
            <w:r>
              <w:rPr>
                <w:rFonts w:asciiTheme="minorHAnsi" w:hAnsiTheme="minorHAnsi" w:cs="ArialNarrow"/>
                <w:sz w:val="22"/>
                <w:szCs w:val="22"/>
              </w:rPr>
              <w:lastRenderedPageBreak/>
              <w:t>przedsiębiorstwach O/K/M</w:t>
            </w:r>
          </w:p>
        </w:tc>
        <w:tc>
          <w:tcPr>
            <w:tcW w:w="701" w:type="pct"/>
          </w:tcPr>
          <w:p w:rsidR="00B61B7A" w:rsidRPr="00911273" w:rsidRDefault="00B61B7A" w:rsidP="00521EB7">
            <w:pPr>
              <w:spacing w:before="0" w:line="240" w:lineRule="auto"/>
              <w:rPr>
                <w:rFonts w:asciiTheme="minorHAnsi" w:hAnsiTheme="minorHAnsi" w:cs="ArialNarrow"/>
                <w:szCs w:val="22"/>
              </w:rPr>
            </w:pPr>
            <w:r>
              <w:rPr>
                <w:rFonts w:asciiTheme="minorHAnsi" w:hAnsiTheme="minorHAnsi" w:cs="ArialNarrow"/>
                <w:szCs w:val="22"/>
              </w:rPr>
              <w:lastRenderedPageBreak/>
              <w:t>EPC</w:t>
            </w:r>
          </w:p>
        </w:tc>
        <w:tc>
          <w:tcPr>
            <w:tcW w:w="2061" w:type="pct"/>
            <w:shd w:val="clear" w:color="auto" w:fill="auto"/>
            <w:vAlign w:val="center"/>
          </w:tcPr>
          <w:p w:rsidR="00B61B7A" w:rsidRPr="007650AC" w:rsidRDefault="00B61B7A" w:rsidP="00521EB7">
            <w:pPr>
              <w:spacing w:line="240" w:lineRule="auto"/>
              <w:jc w:val="both"/>
              <w:rPr>
                <w:rFonts w:asciiTheme="minorHAnsi" w:hAnsiTheme="minorHAnsi"/>
                <w:szCs w:val="22"/>
                <w:lang w:val="en-US"/>
              </w:rPr>
            </w:pPr>
            <w:r w:rsidRPr="007650AC">
              <w:rPr>
                <w:rFonts w:asciiTheme="minorHAnsi" w:hAnsiTheme="minorHAnsi"/>
                <w:szCs w:val="22"/>
                <w:lang w:val="en-US"/>
              </w:rPr>
              <w:t xml:space="preserve">Gross new working positions in supported enterprises in full time </w:t>
            </w:r>
            <w:r w:rsidRPr="007650AC">
              <w:rPr>
                <w:rFonts w:asciiTheme="minorHAnsi" w:hAnsiTheme="minorHAnsi"/>
                <w:szCs w:val="22"/>
                <w:lang w:val="en-US"/>
              </w:rPr>
              <w:lastRenderedPageBreak/>
              <w:t xml:space="preserve">equivalents (FTE). </w:t>
            </w:r>
          </w:p>
          <w:p w:rsidR="00B61B7A" w:rsidRPr="007650AC" w:rsidRDefault="00B61B7A" w:rsidP="00521EB7">
            <w:pPr>
              <w:spacing w:line="240" w:lineRule="auto"/>
              <w:jc w:val="both"/>
              <w:rPr>
                <w:rFonts w:asciiTheme="minorHAnsi" w:hAnsiTheme="minorHAnsi"/>
                <w:szCs w:val="22"/>
                <w:lang w:val="en-US"/>
              </w:rPr>
            </w:pPr>
            <w:r w:rsidRPr="007650AC">
              <w:rPr>
                <w:rFonts w:asciiTheme="minorHAnsi" w:hAnsiTheme="minorHAnsi"/>
                <w:szCs w:val="22"/>
                <w:lang w:val="en-US"/>
              </w:rPr>
              <w:t>Essentially a 'before-after' indicator which captures the part of the employment increase that  is direct consequence of project completion (workers employed to implement the project are not counted). The positions needs to be filled (vacant posts are not counted) and increase the total number of jobs in the enterprise. If total employment in the enterprise does not increase, the value is zero – it is regarded as realignment, not increase. Safeguarded etc. jobs are not included.</w:t>
            </w:r>
          </w:p>
          <w:p w:rsidR="00B61B7A" w:rsidRPr="007650AC" w:rsidRDefault="00B61B7A" w:rsidP="00521EB7">
            <w:pPr>
              <w:spacing w:before="120" w:line="240" w:lineRule="auto"/>
              <w:jc w:val="both"/>
              <w:rPr>
                <w:rFonts w:asciiTheme="minorHAnsi" w:hAnsiTheme="minorHAnsi"/>
                <w:szCs w:val="22"/>
                <w:lang w:val="en-US"/>
              </w:rPr>
            </w:pPr>
            <w:r w:rsidRPr="007650AC">
              <w:rPr>
                <w:rFonts w:asciiTheme="minorHAnsi" w:hAnsiTheme="minorHAnsi"/>
                <w:szCs w:val="22"/>
                <w:lang w:val="en-US"/>
              </w:rPr>
              <w:t xml:space="preserve">Gross: Not counting the origin of the jobholder as long as it directly contributes to the increase of total jobs in the </w:t>
            </w:r>
            <w:proofErr w:type="spellStart"/>
            <w:r w:rsidRPr="007650AC">
              <w:rPr>
                <w:rFonts w:asciiTheme="minorHAnsi" w:hAnsiTheme="minorHAnsi"/>
                <w:szCs w:val="22"/>
                <w:lang w:val="en-US"/>
              </w:rPr>
              <w:t>organisation</w:t>
            </w:r>
            <w:proofErr w:type="spellEnd"/>
            <w:r w:rsidRPr="007650AC">
              <w:rPr>
                <w:rFonts w:asciiTheme="minorHAnsi" w:hAnsiTheme="minorHAnsi"/>
                <w:szCs w:val="22"/>
                <w:lang w:val="en-US"/>
              </w:rPr>
              <w:t xml:space="preserve">. The indicator should be used if the employment increase can plausibly be attributed to the support. </w:t>
            </w:r>
          </w:p>
          <w:p w:rsidR="00B61B7A" w:rsidRPr="007650AC" w:rsidRDefault="00B61B7A" w:rsidP="00521EB7">
            <w:pPr>
              <w:spacing w:before="120" w:line="240" w:lineRule="auto"/>
              <w:jc w:val="both"/>
              <w:rPr>
                <w:rFonts w:asciiTheme="minorHAnsi" w:hAnsiTheme="minorHAnsi"/>
                <w:szCs w:val="22"/>
                <w:lang w:val="en-US"/>
              </w:rPr>
            </w:pPr>
            <w:r w:rsidRPr="007650AC">
              <w:rPr>
                <w:rFonts w:asciiTheme="minorHAnsi" w:hAnsiTheme="minorHAnsi"/>
                <w:szCs w:val="22"/>
                <w:lang w:val="en-US"/>
              </w:rPr>
              <w:t xml:space="preserve">Full-time equivalent: Jobs can be full time, </w:t>
            </w:r>
            <w:proofErr w:type="spellStart"/>
            <w:r w:rsidRPr="007650AC">
              <w:rPr>
                <w:rFonts w:asciiTheme="minorHAnsi" w:hAnsiTheme="minorHAnsi"/>
                <w:szCs w:val="22"/>
                <w:lang w:val="en-US"/>
              </w:rPr>
              <w:t>parttime</w:t>
            </w:r>
            <w:proofErr w:type="spellEnd"/>
            <w:r w:rsidRPr="007650AC">
              <w:rPr>
                <w:rFonts w:asciiTheme="minorHAnsi" w:hAnsiTheme="minorHAnsi"/>
                <w:szCs w:val="22"/>
                <w:lang w:val="en-US"/>
              </w:rPr>
              <w:t xml:space="preserve"> or seasonal. Seasonal and part time jobs are to be converted to FTE using ILO/statistical/other standards. </w:t>
            </w:r>
          </w:p>
          <w:p w:rsidR="00B61B7A" w:rsidRDefault="00B61B7A" w:rsidP="00521EB7">
            <w:pPr>
              <w:spacing w:line="240" w:lineRule="auto"/>
              <w:jc w:val="both"/>
              <w:rPr>
                <w:rFonts w:asciiTheme="minorHAnsi" w:hAnsiTheme="minorHAnsi"/>
                <w:i/>
              </w:rPr>
            </w:pPr>
            <w:r w:rsidRPr="00911273">
              <w:rPr>
                <w:rFonts w:asciiTheme="minorHAnsi" w:hAnsiTheme="minorHAnsi"/>
                <w:i/>
                <w:szCs w:val="22"/>
              </w:rPr>
              <w:t>Tłumaczenie</w:t>
            </w:r>
            <w:r>
              <w:rPr>
                <w:rFonts w:asciiTheme="minorHAnsi" w:hAnsiTheme="minorHAnsi"/>
                <w:i/>
                <w:szCs w:val="22"/>
              </w:rPr>
              <w:t xml:space="preserve"> </w:t>
            </w:r>
            <w:r w:rsidRPr="00B840A9">
              <w:rPr>
                <w:rFonts w:asciiTheme="minorHAnsi" w:hAnsiTheme="minorHAnsi"/>
                <w:i/>
                <w:szCs w:val="22"/>
              </w:rPr>
              <w:t xml:space="preserve">robocze: </w:t>
            </w:r>
            <w:r>
              <w:rPr>
                <w:rFonts w:asciiTheme="minorHAnsi" w:hAnsiTheme="minorHAnsi"/>
                <w:i/>
              </w:rPr>
              <w:t xml:space="preserve">Nowe miejsca pracy brutto we </w:t>
            </w:r>
            <w:r w:rsidRPr="00B840A9">
              <w:rPr>
                <w:rFonts w:asciiTheme="minorHAnsi" w:hAnsiTheme="minorHAnsi"/>
                <w:i/>
              </w:rPr>
              <w:t>wspartych  przedsiębiorstwach wyrażone w ekwiwalencie</w:t>
            </w:r>
            <w:r>
              <w:rPr>
                <w:rFonts w:asciiTheme="minorHAnsi" w:hAnsiTheme="minorHAnsi"/>
                <w:i/>
              </w:rPr>
              <w:t xml:space="preserve"> pełnego czasu pracy (EPC). </w:t>
            </w:r>
          </w:p>
          <w:p w:rsidR="00B61B7A" w:rsidRPr="00B840A9" w:rsidRDefault="00B61B7A" w:rsidP="00521EB7">
            <w:pPr>
              <w:spacing w:line="240" w:lineRule="auto"/>
              <w:jc w:val="both"/>
              <w:rPr>
                <w:rFonts w:asciiTheme="minorHAnsi" w:hAnsiTheme="minorHAnsi"/>
                <w:i/>
              </w:rPr>
            </w:pPr>
            <w:r w:rsidRPr="00B840A9">
              <w:rPr>
                <w:rFonts w:asciiTheme="minorHAnsi" w:hAnsiTheme="minorHAnsi"/>
                <w:i/>
              </w:rPr>
              <w:t xml:space="preserve">Wskaźnik </w:t>
            </w:r>
            <w:r>
              <w:rPr>
                <w:rFonts w:asciiTheme="minorHAnsi" w:hAnsiTheme="minorHAnsi"/>
                <w:i/>
              </w:rPr>
              <w:t>ukazuje</w:t>
            </w:r>
            <w:r w:rsidRPr="00B840A9">
              <w:rPr>
                <w:rFonts w:asciiTheme="minorHAnsi" w:hAnsiTheme="minorHAnsi"/>
                <w:i/>
              </w:rPr>
              <w:t xml:space="preserve"> zmianę "przed-po" </w:t>
            </w:r>
            <w:r>
              <w:rPr>
                <w:rFonts w:asciiTheme="minorHAnsi" w:hAnsiTheme="minorHAnsi"/>
                <w:i/>
              </w:rPr>
              <w:br/>
            </w:r>
            <w:r w:rsidRPr="00B840A9">
              <w:rPr>
                <w:rFonts w:asciiTheme="minorHAnsi" w:hAnsiTheme="minorHAnsi"/>
                <w:i/>
              </w:rPr>
              <w:t xml:space="preserve">i obejmuje część wzrostu zatrudnienia </w:t>
            </w:r>
            <w:r>
              <w:rPr>
                <w:rFonts w:asciiTheme="minorHAnsi" w:hAnsiTheme="minorHAnsi"/>
                <w:i/>
              </w:rPr>
              <w:br/>
            </w:r>
            <w:r w:rsidRPr="00B840A9">
              <w:rPr>
                <w:rFonts w:asciiTheme="minorHAnsi" w:hAnsiTheme="minorHAnsi"/>
                <w:i/>
              </w:rPr>
              <w:t>w przedsiębiorstwie będącego be</w:t>
            </w:r>
            <w:r>
              <w:rPr>
                <w:rFonts w:asciiTheme="minorHAnsi" w:hAnsiTheme="minorHAnsi"/>
                <w:i/>
              </w:rPr>
              <w:t xml:space="preserve">zpośrednim skutkiem zakończenia </w:t>
            </w:r>
            <w:r w:rsidRPr="00B840A9">
              <w:rPr>
                <w:rFonts w:asciiTheme="minorHAnsi" w:hAnsiTheme="minorHAnsi"/>
                <w:i/>
              </w:rPr>
              <w:t xml:space="preserve">realizacji projektu (nie są wliczani pracownicy zatrudnieni do realizacji projektu). </w:t>
            </w:r>
          </w:p>
          <w:p w:rsidR="00B61B7A" w:rsidRPr="00B840A9" w:rsidRDefault="00B61B7A" w:rsidP="00521EB7">
            <w:pPr>
              <w:spacing w:after="240" w:line="240" w:lineRule="auto"/>
              <w:jc w:val="both"/>
              <w:rPr>
                <w:rFonts w:asciiTheme="minorHAnsi" w:hAnsiTheme="minorHAnsi"/>
                <w:i/>
              </w:rPr>
            </w:pPr>
            <w:r w:rsidRPr="00B840A9">
              <w:rPr>
                <w:rFonts w:asciiTheme="minorHAnsi" w:hAnsiTheme="minorHAnsi"/>
                <w:i/>
              </w:rPr>
              <w:t xml:space="preserve">Uwzględnia się obsadzone miejsca pracy (wakaty nie są liczone), które zwiększają łączną liczbę miejsc pracy </w:t>
            </w:r>
            <w:r>
              <w:rPr>
                <w:rFonts w:asciiTheme="minorHAnsi" w:hAnsiTheme="minorHAnsi"/>
                <w:i/>
              </w:rPr>
              <w:br/>
            </w:r>
            <w:r w:rsidRPr="00B840A9">
              <w:rPr>
                <w:rFonts w:asciiTheme="minorHAnsi" w:hAnsiTheme="minorHAnsi"/>
                <w:i/>
              </w:rPr>
              <w:t xml:space="preserve">w przedsiębiorstwie. Brak wzrostu </w:t>
            </w:r>
            <w:r>
              <w:rPr>
                <w:rFonts w:asciiTheme="minorHAnsi" w:hAnsiTheme="minorHAnsi"/>
                <w:i/>
              </w:rPr>
              <w:br/>
            </w:r>
            <w:r w:rsidRPr="00B840A9">
              <w:rPr>
                <w:rFonts w:asciiTheme="minorHAnsi" w:hAnsiTheme="minorHAnsi"/>
                <w:i/>
              </w:rPr>
              <w:t xml:space="preserve">w całkowitym zatrudnieniu </w:t>
            </w:r>
            <w:r>
              <w:rPr>
                <w:rFonts w:asciiTheme="minorHAnsi" w:hAnsiTheme="minorHAnsi"/>
                <w:i/>
              </w:rPr>
              <w:br/>
            </w:r>
            <w:r w:rsidRPr="00B840A9">
              <w:rPr>
                <w:rFonts w:asciiTheme="minorHAnsi" w:hAnsiTheme="minorHAnsi"/>
                <w:i/>
              </w:rPr>
              <w:t xml:space="preserve">w przedsiębiorstwie oznacza, że wartość wskaźnika jest równa zero, co traktuje się jako wyrównanie miejsc pracy, a nie wzrost. Nie wlicza się miejsc pracy, np. </w:t>
            </w:r>
            <w:r w:rsidRPr="00B840A9">
              <w:rPr>
                <w:rFonts w:asciiTheme="minorHAnsi" w:hAnsiTheme="minorHAnsi"/>
                <w:i/>
              </w:rPr>
              <w:lastRenderedPageBreak/>
              <w:t>utrzymanych dzięki realizacji projektu.</w:t>
            </w:r>
          </w:p>
          <w:p w:rsidR="00B61B7A" w:rsidRPr="00B840A9" w:rsidRDefault="00B61B7A" w:rsidP="00521EB7">
            <w:pPr>
              <w:spacing w:after="240" w:line="240" w:lineRule="auto"/>
              <w:jc w:val="both"/>
              <w:rPr>
                <w:rFonts w:asciiTheme="minorHAnsi" w:hAnsiTheme="minorHAnsi"/>
                <w:i/>
              </w:rPr>
            </w:pPr>
            <w:r w:rsidRPr="00B840A9">
              <w:rPr>
                <w:rFonts w:asciiTheme="minorHAnsi" w:hAnsiTheme="minorHAnsi"/>
                <w:i/>
              </w:rPr>
              <w:t xml:space="preserve">Brutto: Nie uwzględniamy miejsca pracy otrzymanego w wyniku zmian wewnątrz przedsiębiorstwa, dopóki nie przyczyni się to do całkowitego wzrostu liczby miejsc pracy w przedsiębiorstwie. Wskaźnik powinien być zastosowany, jeżeli wzrost zatrudnienia może być wiarygodnie przypisany do wsparcia </w:t>
            </w:r>
            <w:r>
              <w:rPr>
                <w:rFonts w:asciiTheme="minorHAnsi" w:hAnsiTheme="minorHAnsi"/>
                <w:i/>
              </w:rPr>
              <w:br/>
            </w:r>
            <w:r w:rsidRPr="00B840A9">
              <w:rPr>
                <w:rFonts w:asciiTheme="minorHAnsi" w:hAnsiTheme="minorHAnsi"/>
                <w:i/>
              </w:rPr>
              <w:t>w ramach projektu.</w:t>
            </w:r>
          </w:p>
          <w:p w:rsidR="00B61B7A" w:rsidRPr="00B840A9" w:rsidRDefault="00B61B7A" w:rsidP="00521EB7">
            <w:pPr>
              <w:spacing w:line="240" w:lineRule="auto"/>
              <w:jc w:val="both"/>
              <w:rPr>
                <w:rFonts w:asciiTheme="minorHAnsi" w:hAnsiTheme="minorHAnsi"/>
                <w:i/>
              </w:rPr>
            </w:pPr>
            <w:r w:rsidRPr="00B840A9">
              <w:rPr>
                <w:rFonts w:asciiTheme="minorHAnsi" w:hAnsiTheme="minorHAnsi"/>
                <w:i/>
              </w:rPr>
              <w:t xml:space="preserve">Ekwiwalent pełnego czasu pracy: miejsca pracy mogą być pełnoetatowe, na część etatu lub sezonowe, przy czym etaty częściowe podlegają sumowaniu lecz nie są zaokrąglane do pełnych jednostek. Zatrudnienie sezonowe i na część etatu przelicza się na EPC </w:t>
            </w:r>
            <w:r>
              <w:rPr>
                <w:rFonts w:asciiTheme="minorHAnsi" w:hAnsiTheme="minorHAnsi"/>
                <w:i/>
              </w:rPr>
              <w:br/>
            </w:r>
            <w:r w:rsidRPr="00B840A9">
              <w:rPr>
                <w:rFonts w:asciiTheme="minorHAnsi" w:hAnsiTheme="minorHAnsi"/>
                <w:i/>
              </w:rPr>
              <w:t>z wykorzystaniem standardów ILO (Międzynarodowa Organizacja Pracy)/</w:t>
            </w:r>
            <w:r>
              <w:rPr>
                <w:rFonts w:asciiTheme="minorHAnsi" w:hAnsiTheme="minorHAnsi"/>
                <w:i/>
              </w:rPr>
              <w:t xml:space="preserve"> </w:t>
            </w:r>
            <w:r w:rsidRPr="00B840A9">
              <w:rPr>
                <w:rFonts w:asciiTheme="minorHAnsi" w:hAnsiTheme="minorHAnsi"/>
                <w:i/>
              </w:rPr>
              <w:t xml:space="preserve">statystycznych/innych. </w:t>
            </w:r>
          </w:p>
          <w:p w:rsidR="00B61B7A" w:rsidRPr="00911273" w:rsidRDefault="00B61B7A" w:rsidP="00521EB7">
            <w:pPr>
              <w:spacing w:line="240" w:lineRule="auto"/>
              <w:jc w:val="both"/>
              <w:rPr>
                <w:rFonts w:asciiTheme="minorHAnsi" w:hAnsiTheme="minorHAnsi"/>
                <w:szCs w:val="22"/>
              </w:rPr>
            </w:pPr>
          </w:p>
        </w:tc>
        <w:tc>
          <w:tcPr>
            <w:tcW w:w="1049" w:type="pct"/>
          </w:tcPr>
          <w:p w:rsidR="00B61B7A" w:rsidRPr="00911273" w:rsidRDefault="00B61B7A" w:rsidP="00521EB7">
            <w:pPr>
              <w:spacing w:line="240" w:lineRule="auto"/>
              <w:jc w:val="both"/>
              <w:rPr>
                <w:rFonts w:asciiTheme="minorHAnsi" w:hAnsiTheme="minorHAnsi"/>
                <w:szCs w:val="22"/>
              </w:rPr>
            </w:pPr>
            <w:r>
              <w:rPr>
                <w:rFonts w:asciiTheme="minorHAnsi" w:hAnsiTheme="minorHAnsi"/>
                <w:szCs w:val="22"/>
              </w:rPr>
              <w:lastRenderedPageBreak/>
              <w:t>RPO</w:t>
            </w:r>
            <w:r w:rsidR="0046493A">
              <w:rPr>
                <w:rFonts w:asciiTheme="minorHAnsi" w:hAnsiTheme="minorHAnsi"/>
                <w:szCs w:val="22"/>
              </w:rPr>
              <w:t xml:space="preserve"> WD 2014-2020</w:t>
            </w:r>
          </w:p>
        </w:tc>
      </w:tr>
      <w:tr w:rsidR="008554A8" w:rsidRPr="00911273" w:rsidTr="000F189D">
        <w:trPr>
          <w:trHeight w:val="20"/>
          <w:jc w:val="center"/>
        </w:trPr>
        <w:tc>
          <w:tcPr>
            <w:tcW w:w="1189" w:type="pct"/>
            <w:shd w:val="clear" w:color="auto" w:fill="auto"/>
          </w:tcPr>
          <w:p w:rsidR="008554A8" w:rsidRDefault="008554A8" w:rsidP="00521EB7">
            <w:pPr>
              <w:pStyle w:val="Default"/>
              <w:rPr>
                <w:rFonts w:asciiTheme="minorHAnsi" w:hAnsiTheme="minorHAnsi" w:cs="ArialNarrow"/>
                <w:sz w:val="22"/>
                <w:szCs w:val="22"/>
              </w:rPr>
            </w:pPr>
            <w:r w:rsidRPr="003C55C7">
              <w:rPr>
                <w:rFonts w:asciiTheme="minorHAnsi" w:hAnsiTheme="minorHAnsi" w:cs="ArialNarrow"/>
                <w:sz w:val="22"/>
                <w:szCs w:val="22"/>
              </w:rPr>
              <w:lastRenderedPageBreak/>
              <w:t>Wzrost zatrudnienia we wspieranych podmiotach (innych niż przedsiębiorstwa)</w:t>
            </w:r>
          </w:p>
          <w:p w:rsidR="008554A8" w:rsidRPr="003C55C7" w:rsidRDefault="008554A8" w:rsidP="00521EB7">
            <w:pPr>
              <w:pStyle w:val="Default"/>
              <w:rPr>
                <w:rFonts w:asciiTheme="minorHAnsi" w:hAnsiTheme="minorHAnsi" w:cs="ArialNarrow"/>
                <w:sz w:val="22"/>
                <w:szCs w:val="22"/>
              </w:rPr>
            </w:pPr>
            <w:r>
              <w:rPr>
                <w:rFonts w:asciiTheme="minorHAnsi" w:hAnsiTheme="minorHAnsi" w:cs="ArialNarrow"/>
                <w:sz w:val="22"/>
                <w:szCs w:val="22"/>
              </w:rPr>
              <w:t>O/K/M</w:t>
            </w:r>
          </w:p>
        </w:tc>
        <w:tc>
          <w:tcPr>
            <w:tcW w:w="701" w:type="pct"/>
          </w:tcPr>
          <w:p w:rsidR="008554A8" w:rsidRPr="003C55C7" w:rsidRDefault="008554A8" w:rsidP="00521EB7">
            <w:pPr>
              <w:spacing w:before="0" w:line="240" w:lineRule="auto"/>
              <w:rPr>
                <w:rFonts w:asciiTheme="minorHAnsi" w:hAnsiTheme="minorHAnsi" w:cs="ArialNarrow"/>
                <w:szCs w:val="22"/>
              </w:rPr>
            </w:pPr>
            <w:r w:rsidRPr="003C55C7">
              <w:rPr>
                <w:rFonts w:asciiTheme="minorHAnsi" w:hAnsiTheme="minorHAnsi" w:cs="ArialNarrow"/>
                <w:szCs w:val="22"/>
              </w:rPr>
              <w:t>EPC</w:t>
            </w:r>
          </w:p>
        </w:tc>
        <w:tc>
          <w:tcPr>
            <w:tcW w:w="2061" w:type="pct"/>
            <w:shd w:val="clear" w:color="auto" w:fill="auto"/>
            <w:vAlign w:val="center"/>
          </w:tcPr>
          <w:p w:rsidR="008554A8" w:rsidRPr="008554A8" w:rsidRDefault="00B61B7A" w:rsidP="00396F3C">
            <w:pPr>
              <w:spacing w:line="240" w:lineRule="auto"/>
              <w:jc w:val="both"/>
              <w:rPr>
                <w:rFonts w:asciiTheme="minorHAnsi" w:hAnsiTheme="minorHAnsi"/>
                <w:color w:val="333399"/>
                <w:szCs w:val="22"/>
              </w:rPr>
            </w:pPr>
            <w:r w:rsidRPr="00B61B7A">
              <w:rPr>
                <w:rFonts w:asciiTheme="minorHAnsi" w:eastAsiaTheme="minorHAnsi" w:hAnsiTheme="minorHAnsi" w:cstheme="minorBidi"/>
                <w:sz w:val="23"/>
                <w:szCs w:val="23"/>
                <w:lang w:eastAsia="en-US"/>
              </w:rPr>
              <w:t>Definicja jak wyżej w odniesieniu do podmiotów innych niż przedsiębiorstwa</w:t>
            </w:r>
          </w:p>
        </w:tc>
        <w:tc>
          <w:tcPr>
            <w:tcW w:w="1049" w:type="pct"/>
          </w:tcPr>
          <w:p w:rsidR="008554A8" w:rsidRPr="003C55C7" w:rsidRDefault="008554A8" w:rsidP="00521EB7">
            <w:pPr>
              <w:spacing w:line="240" w:lineRule="auto"/>
              <w:jc w:val="both"/>
              <w:rPr>
                <w:rFonts w:asciiTheme="minorHAnsi" w:hAnsiTheme="minorHAnsi"/>
                <w:szCs w:val="22"/>
              </w:rPr>
            </w:pPr>
            <w:r w:rsidRPr="003C55C7">
              <w:rPr>
                <w:rFonts w:asciiTheme="minorHAnsi" w:hAnsiTheme="minorHAnsi"/>
                <w:szCs w:val="22"/>
              </w:rPr>
              <w:t>horyzontalny</w:t>
            </w:r>
          </w:p>
        </w:tc>
      </w:tr>
      <w:tr w:rsidR="008554A8" w:rsidRPr="00911273" w:rsidTr="000F189D">
        <w:trPr>
          <w:trHeight w:val="20"/>
          <w:jc w:val="center"/>
        </w:trPr>
        <w:tc>
          <w:tcPr>
            <w:tcW w:w="1189" w:type="pct"/>
            <w:shd w:val="clear" w:color="auto" w:fill="auto"/>
          </w:tcPr>
          <w:p w:rsidR="008554A8" w:rsidRPr="003C55C7" w:rsidRDefault="008554A8" w:rsidP="00521EB7">
            <w:pPr>
              <w:pStyle w:val="Default"/>
              <w:rPr>
                <w:rFonts w:asciiTheme="minorHAnsi" w:hAnsiTheme="minorHAnsi" w:cs="ArialNarrow"/>
                <w:sz w:val="22"/>
                <w:szCs w:val="22"/>
              </w:rPr>
            </w:pPr>
            <w:r w:rsidRPr="003C55C7">
              <w:rPr>
                <w:rFonts w:asciiTheme="minorHAnsi" w:hAnsiTheme="minorHAnsi" w:cs="ArialNarrow"/>
                <w:sz w:val="22"/>
                <w:szCs w:val="22"/>
              </w:rPr>
              <w:t>Liczba utrzymanych miejsc pracy</w:t>
            </w:r>
          </w:p>
        </w:tc>
        <w:tc>
          <w:tcPr>
            <w:tcW w:w="701" w:type="pct"/>
          </w:tcPr>
          <w:p w:rsidR="008554A8" w:rsidRPr="003C55C7" w:rsidRDefault="008554A8" w:rsidP="00521EB7">
            <w:pPr>
              <w:spacing w:before="0" w:line="240" w:lineRule="auto"/>
              <w:rPr>
                <w:rFonts w:asciiTheme="minorHAnsi" w:hAnsiTheme="minorHAnsi" w:cs="ArialNarrow"/>
                <w:szCs w:val="22"/>
              </w:rPr>
            </w:pPr>
            <w:r w:rsidRPr="003C55C7">
              <w:rPr>
                <w:rFonts w:asciiTheme="minorHAnsi" w:hAnsiTheme="minorHAnsi" w:cs="ArialNarrow"/>
                <w:szCs w:val="22"/>
              </w:rPr>
              <w:t>EPC</w:t>
            </w:r>
          </w:p>
        </w:tc>
        <w:tc>
          <w:tcPr>
            <w:tcW w:w="2061" w:type="pct"/>
            <w:shd w:val="clear" w:color="auto" w:fill="auto"/>
            <w:vAlign w:val="center"/>
          </w:tcPr>
          <w:p w:rsidR="008554A8" w:rsidRPr="003C55C7" w:rsidRDefault="008554A8" w:rsidP="00521EB7">
            <w:pPr>
              <w:autoSpaceDE w:val="0"/>
              <w:autoSpaceDN w:val="0"/>
              <w:adjustRightInd w:val="0"/>
              <w:spacing w:before="0" w:line="240" w:lineRule="auto"/>
              <w:jc w:val="both"/>
              <w:rPr>
                <w:rFonts w:asciiTheme="minorHAnsi" w:eastAsiaTheme="minorHAnsi" w:hAnsiTheme="minorHAnsi" w:cstheme="minorBidi"/>
                <w:sz w:val="23"/>
                <w:szCs w:val="23"/>
                <w:lang w:eastAsia="en-US"/>
              </w:rPr>
            </w:pPr>
            <w:r w:rsidRPr="003C55C7">
              <w:rPr>
                <w:rFonts w:asciiTheme="minorHAnsi" w:eastAsiaTheme="minorHAnsi" w:hAnsiTheme="minorHAnsi" w:cstheme="minorBidi"/>
                <w:sz w:val="23"/>
                <w:szCs w:val="23"/>
                <w:lang w:eastAsia="en-US"/>
              </w:rPr>
              <w:t>Miejsca pracy utworzone w wyniku realizacji projektu, lecz nie powodują wzrostu zatrudnienia w organizacji</w:t>
            </w:r>
          </w:p>
          <w:p w:rsidR="008554A8" w:rsidRPr="008554A8" w:rsidRDefault="008554A8" w:rsidP="00521EB7">
            <w:pPr>
              <w:spacing w:line="240" w:lineRule="auto"/>
              <w:jc w:val="both"/>
              <w:rPr>
                <w:rFonts w:ascii="Arial Narrow" w:hAnsi="Arial Narrow"/>
                <w:color w:val="333399"/>
                <w:sz w:val="18"/>
                <w:szCs w:val="18"/>
              </w:rPr>
            </w:pPr>
          </w:p>
        </w:tc>
        <w:tc>
          <w:tcPr>
            <w:tcW w:w="1049" w:type="pct"/>
          </w:tcPr>
          <w:p w:rsidR="008554A8" w:rsidRPr="003C55C7" w:rsidRDefault="008554A8" w:rsidP="00521EB7">
            <w:pPr>
              <w:spacing w:line="240" w:lineRule="auto"/>
              <w:jc w:val="both"/>
              <w:rPr>
                <w:rFonts w:asciiTheme="minorHAnsi" w:hAnsiTheme="minorHAnsi"/>
                <w:szCs w:val="22"/>
              </w:rPr>
            </w:pPr>
            <w:r w:rsidRPr="003C55C7">
              <w:rPr>
                <w:rFonts w:asciiTheme="minorHAnsi" w:hAnsiTheme="minorHAnsi"/>
                <w:szCs w:val="22"/>
              </w:rPr>
              <w:t>horyzontalny</w:t>
            </w:r>
          </w:p>
        </w:tc>
      </w:tr>
      <w:tr w:rsidR="008554A8" w:rsidRPr="00911273" w:rsidTr="000F189D">
        <w:trPr>
          <w:trHeight w:val="20"/>
          <w:jc w:val="center"/>
        </w:trPr>
        <w:tc>
          <w:tcPr>
            <w:tcW w:w="1189" w:type="pct"/>
            <w:shd w:val="clear" w:color="auto" w:fill="auto"/>
          </w:tcPr>
          <w:p w:rsidR="008554A8" w:rsidRPr="003C55C7" w:rsidRDefault="008554A8" w:rsidP="00521EB7">
            <w:pPr>
              <w:pStyle w:val="Default"/>
              <w:rPr>
                <w:rFonts w:asciiTheme="minorHAnsi" w:hAnsiTheme="minorHAnsi" w:cs="ArialNarrow"/>
                <w:sz w:val="22"/>
                <w:szCs w:val="22"/>
              </w:rPr>
            </w:pPr>
            <w:r w:rsidRPr="003C55C7">
              <w:rPr>
                <w:rFonts w:asciiTheme="minorHAnsi" w:hAnsiTheme="minorHAnsi" w:cs="ArialNarrow"/>
                <w:sz w:val="22"/>
                <w:szCs w:val="22"/>
              </w:rPr>
              <w:t xml:space="preserve">Liczba nowo utworzonych miejsc pracy - pozostałe formy </w:t>
            </w:r>
          </w:p>
        </w:tc>
        <w:tc>
          <w:tcPr>
            <w:tcW w:w="701" w:type="pct"/>
          </w:tcPr>
          <w:p w:rsidR="008554A8" w:rsidRPr="003C55C7" w:rsidRDefault="008554A8" w:rsidP="00521EB7">
            <w:pPr>
              <w:spacing w:before="0" w:line="240" w:lineRule="auto"/>
              <w:rPr>
                <w:rFonts w:asciiTheme="minorHAnsi" w:hAnsiTheme="minorHAnsi" w:cs="ArialNarrow"/>
                <w:szCs w:val="22"/>
              </w:rPr>
            </w:pPr>
            <w:r w:rsidRPr="003C55C7">
              <w:rPr>
                <w:rFonts w:asciiTheme="minorHAnsi" w:hAnsiTheme="minorHAnsi" w:cs="ArialNarrow"/>
                <w:szCs w:val="22"/>
              </w:rPr>
              <w:t>EPC</w:t>
            </w:r>
          </w:p>
        </w:tc>
        <w:tc>
          <w:tcPr>
            <w:tcW w:w="2061" w:type="pct"/>
            <w:shd w:val="clear" w:color="auto" w:fill="auto"/>
            <w:vAlign w:val="center"/>
          </w:tcPr>
          <w:p w:rsidR="008554A8" w:rsidRPr="00471B0C" w:rsidRDefault="008554A8" w:rsidP="00521EB7">
            <w:pPr>
              <w:autoSpaceDE w:val="0"/>
              <w:autoSpaceDN w:val="0"/>
              <w:adjustRightInd w:val="0"/>
              <w:spacing w:before="0" w:line="240" w:lineRule="auto"/>
              <w:jc w:val="both"/>
              <w:rPr>
                <w:rFonts w:asciiTheme="minorHAnsi" w:eastAsiaTheme="minorHAnsi" w:hAnsiTheme="minorHAnsi" w:cs="Verdana"/>
                <w:sz w:val="23"/>
                <w:szCs w:val="23"/>
                <w:lang w:eastAsia="en-US"/>
              </w:rPr>
            </w:pPr>
            <w:r w:rsidRPr="00471B0C">
              <w:rPr>
                <w:rFonts w:asciiTheme="minorHAnsi" w:eastAsiaTheme="minorHAnsi" w:hAnsiTheme="minorHAnsi" w:cstheme="minorBidi"/>
                <w:iCs/>
                <w:sz w:val="23"/>
                <w:szCs w:val="23"/>
                <w:lang w:eastAsia="en-US"/>
              </w:rPr>
              <w:t>Pozostałe formy</w:t>
            </w:r>
            <w:r w:rsidRPr="00471B0C">
              <w:rPr>
                <w:rFonts w:asciiTheme="minorHAnsi" w:eastAsiaTheme="minorHAnsi" w:hAnsiTheme="minorHAnsi" w:cs="Verdana"/>
                <w:sz w:val="23"/>
                <w:szCs w:val="23"/>
                <w:lang w:eastAsia="en-US"/>
              </w:rPr>
              <w:t xml:space="preserve">, np. umowy cywilnoprawne, miejsca pracy do obsługi projektu, nietrwałe miejsca pracy </w:t>
            </w:r>
          </w:p>
          <w:p w:rsidR="008554A8" w:rsidRPr="008554A8" w:rsidRDefault="008554A8" w:rsidP="00521EB7">
            <w:pPr>
              <w:spacing w:line="240" w:lineRule="auto"/>
              <w:jc w:val="both"/>
              <w:rPr>
                <w:rFonts w:ascii="Arial Narrow" w:hAnsi="Arial Narrow"/>
                <w:color w:val="333399"/>
                <w:sz w:val="18"/>
                <w:szCs w:val="18"/>
              </w:rPr>
            </w:pPr>
          </w:p>
        </w:tc>
        <w:tc>
          <w:tcPr>
            <w:tcW w:w="1049" w:type="pct"/>
          </w:tcPr>
          <w:p w:rsidR="008554A8" w:rsidRPr="003C55C7" w:rsidRDefault="008554A8" w:rsidP="00521EB7">
            <w:pPr>
              <w:spacing w:line="240" w:lineRule="auto"/>
              <w:jc w:val="both"/>
              <w:rPr>
                <w:rFonts w:asciiTheme="minorHAnsi" w:hAnsiTheme="minorHAnsi"/>
                <w:szCs w:val="22"/>
              </w:rPr>
            </w:pPr>
            <w:r w:rsidRPr="003C55C7">
              <w:rPr>
                <w:rFonts w:asciiTheme="minorHAnsi" w:hAnsiTheme="minorHAnsi"/>
                <w:szCs w:val="22"/>
              </w:rPr>
              <w:t>horyzontalny</w:t>
            </w:r>
          </w:p>
        </w:tc>
      </w:tr>
    </w:tbl>
    <w:p w:rsidR="008554A8" w:rsidRPr="00485CDD" w:rsidRDefault="008554A8" w:rsidP="00485CDD">
      <w:pPr>
        <w:autoSpaceDE w:val="0"/>
        <w:autoSpaceDN w:val="0"/>
        <w:adjustRightInd w:val="0"/>
        <w:spacing w:before="0" w:line="240" w:lineRule="auto"/>
        <w:jc w:val="both"/>
        <w:rPr>
          <w:rFonts w:asciiTheme="minorHAnsi" w:hAnsiTheme="minorHAnsi"/>
        </w:rPr>
      </w:pPr>
    </w:p>
    <w:p w:rsidR="00335935" w:rsidRDefault="00335935" w:rsidP="007650AC">
      <w:pPr>
        <w:autoSpaceDE w:val="0"/>
        <w:autoSpaceDN w:val="0"/>
        <w:adjustRightInd w:val="0"/>
        <w:spacing w:before="120" w:after="120" w:line="240" w:lineRule="auto"/>
        <w:jc w:val="both"/>
        <w:rPr>
          <w:rFonts w:asciiTheme="minorHAnsi" w:eastAsiaTheme="minorHAnsi" w:hAnsiTheme="minorHAnsi" w:cs="Arial"/>
          <w:szCs w:val="22"/>
          <w:lang w:eastAsia="en-US"/>
        </w:rPr>
      </w:pPr>
    </w:p>
    <w:p w:rsidR="008C495E" w:rsidRPr="0044238B" w:rsidRDefault="008C495E" w:rsidP="007650AC">
      <w:pPr>
        <w:autoSpaceDE w:val="0"/>
        <w:autoSpaceDN w:val="0"/>
        <w:adjustRightInd w:val="0"/>
        <w:spacing w:before="120" w:after="120" w:line="240" w:lineRule="auto"/>
        <w:jc w:val="both"/>
        <w:rPr>
          <w:rFonts w:asciiTheme="minorHAnsi" w:eastAsiaTheme="minorHAnsi" w:hAnsiTheme="minorHAnsi" w:cs="Arial"/>
          <w:szCs w:val="22"/>
          <w:lang w:eastAsia="en-US"/>
        </w:rPr>
      </w:pPr>
      <w:r w:rsidRPr="00911273">
        <w:rPr>
          <w:rFonts w:asciiTheme="minorHAnsi" w:eastAsiaTheme="minorHAnsi" w:hAnsiTheme="minorHAnsi" w:cs="Arial"/>
          <w:szCs w:val="22"/>
          <w:lang w:eastAsia="en-US"/>
        </w:rPr>
        <w:t xml:space="preserve">W ramach wniosku o dofinansowanie Wnioskodawca ma obowiązek uwzględnić </w:t>
      </w:r>
      <w:r w:rsidRPr="00911273">
        <w:rPr>
          <w:rFonts w:asciiTheme="minorHAnsi" w:eastAsiaTheme="minorHAnsi" w:hAnsiTheme="minorHAnsi" w:cs="Arial"/>
          <w:b/>
          <w:szCs w:val="22"/>
          <w:lang w:eastAsia="en-US"/>
        </w:rPr>
        <w:t>wszystkie adekwatne</w:t>
      </w:r>
      <w:r w:rsidRPr="00911273">
        <w:rPr>
          <w:rFonts w:asciiTheme="minorHAnsi" w:eastAsiaTheme="minorHAnsi" w:hAnsiTheme="minorHAnsi" w:cs="Arial"/>
          <w:szCs w:val="22"/>
          <w:lang w:eastAsia="en-US"/>
        </w:rPr>
        <w:t xml:space="preserve"> wskaźniki produktu </w:t>
      </w:r>
      <w:r w:rsidR="00D57D29">
        <w:rPr>
          <w:rFonts w:asciiTheme="minorHAnsi" w:eastAsiaTheme="minorHAnsi" w:hAnsiTheme="minorHAnsi" w:cs="Arial"/>
          <w:szCs w:val="22"/>
          <w:lang w:eastAsia="en-US"/>
        </w:rPr>
        <w:t xml:space="preserve">oraz </w:t>
      </w:r>
      <w:r w:rsidR="00D57D29" w:rsidRPr="00D57D29">
        <w:rPr>
          <w:rFonts w:asciiTheme="minorHAnsi" w:eastAsiaTheme="minorHAnsi" w:hAnsiTheme="minorHAnsi" w:cs="Arial"/>
          <w:szCs w:val="22"/>
          <w:lang w:eastAsia="en-US"/>
        </w:rPr>
        <w:t xml:space="preserve">rezultatu bezpośredniego </w:t>
      </w:r>
      <w:r w:rsidRPr="00911273">
        <w:rPr>
          <w:rFonts w:asciiTheme="minorHAnsi" w:eastAsiaTheme="minorHAnsi" w:hAnsiTheme="minorHAnsi" w:cs="Arial"/>
          <w:szCs w:val="22"/>
          <w:lang w:eastAsia="en-US"/>
        </w:rPr>
        <w:t xml:space="preserve">z listy przedstawionej </w:t>
      </w:r>
      <w:r w:rsidR="0044238B">
        <w:rPr>
          <w:rFonts w:asciiTheme="minorHAnsi" w:eastAsiaTheme="minorHAnsi" w:hAnsiTheme="minorHAnsi" w:cs="Arial"/>
          <w:szCs w:val="22"/>
          <w:lang w:eastAsia="en-US"/>
        </w:rPr>
        <w:t xml:space="preserve"> </w:t>
      </w:r>
      <w:r w:rsidRPr="00911273">
        <w:rPr>
          <w:rFonts w:asciiTheme="minorHAnsi" w:eastAsiaTheme="minorHAnsi" w:hAnsiTheme="minorHAnsi" w:cs="Arial"/>
          <w:szCs w:val="22"/>
          <w:lang w:eastAsia="en-US"/>
        </w:rPr>
        <w:t xml:space="preserve">w powyższych tabelach, odpowiadające </w:t>
      </w:r>
      <w:r w:rsidR="000F5C98">
        <w:rPr>
          <w:rFonts w:asciiTheme="minorHAnsi" w:eastAsiaTheme="minorHAnsi" w:hAnsiTheme="minorHAnsi" w:cs="Arial"/>
          <w:szCs w:val="22"/>
          <w:lang w:eastAsia="en-US"/>
        </w:rPr>
        <w:t xml:space="preserve">celowi </w:t>
      </w:r>
      <w:r w:rsidRPr="00911273">
        <w:rPr>
          <w:rFonts w:asciiTheme="minorHAnsi" w:eastAsiaTheme="minorHAnsi" w:hAnsiTheme="minorHAnsi" w:cs="Arial"/>
          <w:szCs w:val="22"/>
          <w:lang w:eastAsia="en-US"/>
        </w:rPr>
        <w:t xml:space="preserve">projektu. </w:t>
      </w:r>
      <w:r w:rsidRPr="00911273">
        <w:rPr>
          <w:rFonts w:asciiTheme="minorHAnsi" w:hAnsiTheme="minorHAnsi"/>
          <w:szCs w:val="22"/>
        </w:rPr>
        <w:t>Dodatkowo w ramach wniosku o dofinansowanie Wnioskodawca może określić inne, dodatkowe wskaźniki specyficzne dla danego projektu, o ile będzie to niezbędne dla prawidłowej realizacji projektu (tzw. wskaźniki projektowe).</w:t>
      </w:r>
    </w:p>
    <w:p w:rsidR="00340A6B" w:rsidRPr="0044238B" w:rsidRDefault="008C495E" w:rsidP="0044238B">
      <w:pPr>
        <w:pStyle w:val="Default"/>
        <w:jc w:val="both"/>
        <w:rPr>
          <w:rFonts w:asciiTheme="minorHAnsi" w:eastAsiaTheme="minorHAnsi" w:hAnsiTheme="minorHAnsi" w:cstheme="minorBidi"/>
          <w:sz w:val="22"/>
          <w:szCs w:val="22"/>
          <w:lang w:eastAsia="en-US"/>
        </w:rPr>
      </w:pPr>
      <w:r w:rsidRPr="00911273">
        <w:rPr>
          <w:rFonts w:asciiTheme="minorHAnsi" w:eastAsiaTheme="minorHAnsi" w:hAnsiTheme="minorHAnsi" w:cstheme="minorBidi"/>
          <w:sz w:val="22"/>
          <w:szCs w:val="22"/>
          <w:lang w:eastAsia="en-US"/>
        </w:rPr>
        <w:t xml:space="preserve">We wniosku o dofinansowanie należy określić, w jaki sposób i na jakiej podstawie mierzone będą wskaźniki realizacji celu </w:t>
      </w:r>
      <w:r w:rsidR="008E3F0D">
        <w:rPr>
          <w:rFonts w:asciiTheme="minorHAnsi" w:eastAsiaTheme="minorHAnsi" w:hAnsiTheme="minorHAnsi" w:cstheme="minorBidi"/>
          <w:sz w:val="22"/>
          <w:szCs w:val="22"/>
          <w:lang w:eastAsia="en-US"/>
        </w:rPr>
        <w:t xml:space="preserve">projektu </w:t>
      </w:r>
      <w:r w:rsidRPr="00911273">
        <w:rPr>
          <w:rFonts w:asciiTheme="minorHAnsi" w:eastAsiaTheme="minorHAnsi" w:hAnsiTheme="minorHAnsi" w:cstheme="minorBidi"/>
          <w:sz w:val="22"/>
          <w:szCs w:val="22"/>
          <w:lang w:eastAsia="en-US"/>
        </w:rPr>
        <w:t xml:space="preserve">poprzez ustalenie źródła weryfikacji/pozyskania danych do pomiaru </w:t>
      </w:r>
      <w:r w:rsidRPr="00911273">
        <w:rPr>
          <w:rFonts w:asciiTheme="minorHAnsi" w:eastAsiaTheme="minorHAnsi" w:hAnsiTheme="minorHAnsi" w:cstheme="minorBidi"/>
          <w:sz w:val="22"/>
          <w:szCs w:val="22"/>
          <w:lang w:eastAsia="en-US"/>
        </w:rPr>
        <w:lastRenderedPageBreak/>
        <w:t xml:space="preserve">wskaźnika oraz częstotliwości pomiaru. Dlatego przy określaniu wskaźników należy wziąć pod uwagę dostępność i wiarygodność danych niezbędnych do pomiaru danego wskaźnika. </w:t>
      </w:r>
    </w:p>
    <w:p w:rsidR="003C55C7" w:rsidRPr="00340A6B" w:rsidRDefault="003C55C7" w:rsidP="007650AC">
      <w:pPr>
        <w:spacing w:line="240" w:lineRule="auto"/>
        <w:jc w:val="both"/>
        <w:rPr>
          <w:rFonts w:asciiTheme="minorHAnsi" w:hAnsiTheme="minorHAnsi" w:cs="Arial"/>
          <w:b/>
          <w:u w:val="single"/>
        </w:rPr>
      </w:pPr>
      <w:r w:rsidRPr="00340A6B">
        <w:rPr>
          <w:rFonts w:asciiTheme="minorHAnsi" w:hAnsiTheme="minorHAnsi" w:cs="Arial"/>
          <w:b/>
          <w:u w:val="single"/>
        </w:rPr>
        <w:t>Wartość bazowa (tzn. wartość w momencie rozpoczęcia realizacji projektu) w</w:t>
      </w:r>
      <w:r w:rsidR="00141571" w:rsidRPr="00340A6B">
        <w:rPr>
          <w:rFonts w:asciiTheme="minorHAnsi" w:hAnsiTheme="minorHAnsi" w:cs="Arial"/>
          <w:b/>
          <w:u w:val="single"/>
        </w:rPr>
        <w:t> </w:t>
      </w:r>
      <w:r w:rsidRPr="00340A6B">
        <w:rPr>
          <w:rFonts w:asciiTheme="minorHAnsi" w:hAnsiTheme="minorHAnsi" w:cs="Arial"/>
          <w:b/>
          <w:u w:val="single"/>
        </w:rPr>
        <w:t>przypadku każdego wskaźnika powinna być wykazana na poziomie „0”.</w:t>
      </w:r>
    </w:p>
    <w:p w:rsidR="003C55C7" w:rsidRPr="00340A6B" w:rsidRDefault="003C55C7" w:rsidP="007650AC">
      <w:pPr>
        <w:spacing w:line="240" w:lineRule="auto"/>
        <w:jc w:val="both"/>
        <w:rPr>
          <w:rFonts w:asciiTheme="minorHAnsi" w:hAnsiTheme="minorHAnsi" w:cs="Arial"/>
          <w:b/>
          <w:u w:val="single"/>
        </w:rPr>
      </w:pPr>
      <w:r w:rsidRPr="00340A6B">
        <w:rPr>
          <w:rFonts w:asciiTheme="minorHAnsi" w:hAnsiTheme="minorHAnsi" w:cs="Arial"/>
          <w:b/>
          <w:u w:val="single"/>
        </w:rPr>
        <w:t xml:space="preserve">O ile w umowie o dofinansowanie projektu nie wskazano inaczej, efekt wsparcia na poziomie projektu występuje: </w:t>
      </w:r>
    </w:p>
    <w:p w:rsidR="003C55C7" w:rsidRPr="00340A6B" w:rsidRDefault="003C55C7" w:rsidP="007650AC">
      <w:pPr>
        <w:spacing w:line="240" w:lineRule="auto"/>
        <w:jc w:val="both"/>
        <w:rPr>
          <w:rFonts w:asciiTheme="minorHAnsi" w:hAnsiTheme="minorHAnsi" w:cs="Arial"/>
          <w:b/>
          <w:u w:val="single"/>
        </w:rPr>
      </w:pPr>
      <w:r w:rsidRPr="00340A6B">
        <w:rPr>
          <w:rFonts w:asciiTheme="minorHAnsi" w:hAnsiTheme="minorHAnsi" w:cs="Arial"/>
          <w:b/>
          <w:u w:val="single"/>
        </w:rPr>
        <w:t>a) w przypadku wskaźników produktu – w okresie od podpisania umowy o</w:t>
      </w:r>
      <w:r w:rsidR="00141571" w:rsidRPr="00340A6B">
        <w:rPr>
          <w:rFonts w:asciiTheme="minorHAnsi" w:hAnsiTheme="minorHAnsi" w:cs="Arial"/>
          <w:b/>
          <w:u w:val="single"/>
        </w:rPr>
        <w:t> </w:t>
      </w:r>
      <w:r w:rsidRPr="00340A6B">
        <w:rPr>
          <w:rFonts w:asciiTheme="minorHAnsi" w:hAnsiTheme="minorHAnsi" w:cs="Arial"/>
          <w:b/>
          <w:u w:val="single"/>
        </w:rPr>
        <w:t xml:space="preserve">dofinansowanie, przy czym osiągnięte wartości powinny zostać wykazane najpóźniej we wniosku o płatność końcową, </w:t>
      </w:r>
    </w:p>
    <w:p w:rsidR="003C55C7" w:rsidRPr="00340A6B" w:rsidRDefault="003C55C7" w:rsidP="007650AC">
      <w:pPr>
        <w:spacing w:line="240" w:lineRule="auto"/>
        <w:jc w:val="both"/>
        <w:rPr>
          <w:rFonts w:asciiTheme="minorHAnsi" w:hAnsiTheme="minorHAnsi" w:cs="Arial"/>
          <w:b/>
          <w:u w:val="single"/>
        </w:rPr>
      </w:pPr>
      <w:r w:rsidRPr="00340A6B">
        <w:rPr>
          <w:rFonts w:asciiTheme="minorHAnsi" w:hAnsiTheme="minorHAnsi" w:cs="Arial"/>
          <w:b/>
          <w:u w:val="single"/>
        </w:rPr>
        <w:t xml:space="preserve">b) w przypadku wskaźników rezultatu określonych na poziomie projektu: </w:t>
      </w:r>
    </w:p>
    <w:p w:rsidR="003C55C7" w:rsidRPr="00340A6B" w:rsidRDefault="003C55C7" w:rsidP="007650AC">
      <w:pPr>
        <w:pStyle w:val="Akapitzlist"/>
        <w:numPr>
          <w:ilvl w:val="0"/>
          <w:numId w:val="6"/>
        </w:numPr>
        <w:spacing w:before="0" w:after="200" w:line="240" w:lineRule="auto"/>
        <w:ind w:left="1080"/>
        <w:contextualSpacing/>
        <w:jc w:val="both"/>
        <w:rPr>
          <w:rFonts w:asciiTheme="minorHAnsi" w:hAnsiTheme="minorHAnsi" w:cs="Arial"/>
          <w:b/>
          <w:u w:val="single"/>
        </w:rPr>
      </w:pPr>
      <w:r w:rsidRPr="00340A6B">
        <w:rPr>
          <w:rFonts w:asciiTheme="minorHAnsi" w:hAnsiTheme="minorHAnsi" w:cs="Arial"/>
          <w:b/>
          <w:u w:val="single"/>
        </w:rPr>
        <w:t>co do zasady – w okresie 12 miesięcy od zakończenia okresu realizacji projektu określonego w umowie o dofinansowaniu projektu lub, o ile wynika to ze specyfiki projektu, od uruchomienia przedsięwzięcia, przy czym osiągnięte wartości wykazywane są w korekcie do wniosku o</w:t>
      </w:r>
      <w:r w:rsidR="00141571" w:rsidRPr="00340A6B">
        <w:rPr>
          <w:rFonts w:asciiTheme="minorHAnsi" w:hAnsiTheme="minorHAnsi" w:cs="Arial"/>
          <w:b/>
          <w:u w:val="single"/>
        </w:rPr>
        <w:t> </w:t>
      </w:r>
      <w:r w:rsidRPr="00340A6B">
        <w:rPr>
          <w:rFonts w:asciiTheme="minorHAnsi" w:hAnsiTheme="minorHAnsi" w:cs="Arial"/>
          <w:b/>
          <w:u w:val="single"/>
        </w:rPr>
        <w:t>płatność końcową.</w:t>
      </w:r>
    </w:p>
    <w:p w:rsidR="0032765F" w:rsidRPr="00911273" w:rsidRDefault="0032765F" w:rsidP="007650AC">
      <w:pPr>
        <w:spacing w:line="240" w:lineRule="auto"/>
        <w:rPr>
          <w:szCs w:val="22"/>
        </w:rPr>
      </w:pPr>
    </w:p>
    <w:sectPr w:rsidR="0032765F" w:rsidRPr="00911273" w:rsidSect="009456D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5D" w:rsidRDefault="00530E5D" w:rsidP="008C495E">
      <w:pPr>
        <w:spacing w:before="0" w:line="240" w:lineRule="auto"/>
      </w:pPr>
      <w:r>
        <w:separator/>
      </w:r>
    </w:p>
  </w:endnote>
  <w:endnote w:type="continuationSeparator" w:id="0">
    <w:p w:rsidR="00530E5D" w:rsidRDefault="00530E5D" w:rsidP="008C49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Narrow">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5D" w:rsidRDefault="00530E5D" w:rsidP="008C495E">
      <w:pPr>
        <w:spacing w:before="0" w:line="240" w:lineRule="auto"/>
      </w:pPr>
      <w:r>
        <w:separator/>
      </w:r>
    </w:p>
  </w:footnote>
  <w:footnote w:type="continuationSeparator" w:id="0">
    <w:p w:rsidR="00530E5D" w:rsidRDefault="00530E5D" w:rsidP="008C495E">
      <w:pPr>
        <w:spacing w:before="0" w:line="240" w:lineRule="auto"/>
      </w:pPr>
      <w:r>
        <w:continuationSeparator/>
      </w:r>
    </w:p>
  </w:footnote>
  <w:footnote w:id="1">
    <w:p w:rsidR="0046493A" w:rsidRDefault="0046493A" w:rsidP="0046493A">
      <w:pPr>
        <w:pStyle w:val="Tekstprzypisudolnego"/>
      </w:pPr>
      <w:r>
        <w:rPr>
          <w:rStyle w:val="Odwoanieprzypisudolnego"/>
        </w:rPr>
        <w:footnoteRef/>
      </w:r>
      <w:r>
        <w:t xml:space="preserve"> </w:t>
      </w:r>
      <w:r>
        <w:rPr>
          <w:rFonts w:asciiTheme="minorHAnsi" w:hAnsiTheme="minorHAnsi" w:cs="Tahoma"/>
          <w:b/>
          <w:kern w:val="2"/>
          <w:u w:val="single"/>
        </w:rPr>
        <w:t>Porozumienie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8F" w:rsidRPr="00C0278F" w:rsidRDefault="00C0278F" w:rsidP="00C0278F">
    <w:pPr>
      <w:pStyle w:val="Nagwek"/>
      <w:spacing w:before="120" w:after="120"/>
      <w:jc w:val="right"/>
      <w:rPr>
        <w:rFonts w:asciiTheme="minorHAnsi" w:hAnsiTheme="minorHAnsi"/>
        <w:sz w:val="20"/>
      </w:rPr>
    </w:pPr>
    <w:r>
      <w:tab/>
    </w:r>
    <w:r w:rsidRPr="00C0278F">
      <w:rPr>
        <w:rFonts w:asciiTheme="minorHAnsi" w:hAnsiTheme="minorHAnsi"/>
        <w:sz w:val="20"/>
      </w:rPr>
      <w:t xml:space="preserve">Załącznik  nr 4 do Regulaminu konkursu </w:t>
    </w:r>
  </w:p>
  <w:p w:rsidR="00C0278F" w:rsidRPr="00C0278F" w:rsidRDefault="00C0278F" w:rsidP="00C0278F">
    <w:pPr>
      <w:jc w:val="right"/>
      <w:rPr>
        <w:rFonts w:asciiTheme="minorHAnsi" w:hAnsiTheme="minorHAnsi"/>
        <w:sz w:val="20"/>
      </w:rPr>
    </w:pPr>
    <w:r w:rsidRPr="00C0278F">
      <w:rPr>
        <w:rFonts w:asciiTheme="minorHAnsi" w:hAnsiTheme="minorHAnsi"/>
        <w:sz w:val="20"/>
      </w:rPr>
      <w:t>Nr n</w:t>
    </w:r>
    <w:r w:rsidR="000C0A4C">
      <w:rPr>
        <w:rFonts w:asciiTheme="minorHAnsi" w:hAnsiTheme="minorHAnsi"/>
        <w:sz w:val="20"/>
      </w:rPr>
      <w:t>aboru RPDS.</w:t>
    </w:r>
    <w:r w:rsidR="009449EE" w:rsidRPr="009449EE">
      <w:rPr>
        <w:rFonts w:asciiTheme="minorHAnsi" w:hAnsiTheme="minorHAnsi"/>
        <w:sz w:val="20"/>
      </w:rPr>
      <w:t>07.01.0</w:t>
    </w:r>
    <w:r w:rsidR="00F72230">
      <w:rPr>
        <w:rFonts w:asciiTheme="minorHAnsi" w:hAnsiTheme="minorHAnsi"/>
        <w:sz w:val="20"/>
      </w:rPr>
      <w:t>3</w:t>
    </w:r>
    <w:r w:rsidR="009449EE" w:rsidRPr="009449EE">
      <w:rPr>
        <w:rFonts w:asciiTheme="minorHAnsi" w:hAnsiTheme="minorHAnsi"/>
        <w:sz w:val="20"/>
      </w:rPr>
      <w:t>-IZ.00-02-04</w:t>
    </w:r>
    <w:r w:rsidR="00F72230">
      <w:rPr>
        <w:rFonts w:asciiTheme="minorHAnsi" w:hAnsiTheme="minorHAnsi"/>
        <w:sz w:val="20"/>
      </w:rPr>
      <w:t>2</w:t>
    </w:r>
    <w:r w:rsidR="009449EE" w:rsidRPr="009449EE">
      <w:rPr>
        <w:rFonts w:asciiTheme="minorHAnsi" w:hAnsiTheme="minorHAnsi"/>
        <w:sz w:val="20"/>
      </w:rPr>
      <w:t>/15</w:t>
    </w:r>
  </w:p>
  <w:p w:rsidR="00C0278F" w:rsidRDefault="00C0278F" w:rsidP="00C0278F">
    <w:pPr>
      <w:pStyle w:val="Nagwek"/>
      <w:tabs>
        <w:tab w:val="clear" w:pos="4536"/>
        <w:tab w:val="clear" w:pos="9072"/>
        <w:tab w:val="left" w:pos="6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192"/>
    <w:multiLevelType w:val="multilevel"/>
    <w:tmpl w:val="23781834"/>
    <w:lvl w:ilvl="0">
      <w:start w:val="1"/>
      <w:numFmt w:val="decimal"/>
      <w:lvlText w:val="%1."/>
      <w:lvlJc w:val="left"/>
      <w:pPr>
        <w:ind w:left="360" w:hanging="360"/>
      </w:pPr>
      <w:rPr>
        <w:rFonts w:ascii="Calibri" w:hAnsi="Calibri" w:cs="Times New Roman" w:hint="default"/>
        <w:b/>
        <w:i w:val="0"/>
        <w:sz w:val="24"/>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ACC7735"/>
    <w:multiLevelType w:val="hybridMultilevel"/>
    <w:tmpl w:val="1B862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5419B7"/>
    <w:multiLevelType w:val="hybridMultilevel"/>
    <w:tmpl w:val="35F6A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DB5CBB"/>
    <w:multiLevelType w:val="hybridMultilevel"/>
    <w:tmpl w:val="6DB89E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6F4E6257"/>
    <w:multiLevelType w:val="hybridMultilevel"/>
    <w:tmpl w:val="3E6AD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95E"/>
    <w:rsid w:val="00002E70"/>
    <w:rsid w:val="00094C3F"/>
    <w:rsid w:val="000B05C7"/>
    <w:rsid w:val="000C0A4C"/>
    <w:rsid w:val="000F5C98"/>
    <w:rsid w:val="00141571"/>
    <w:rsid w:val="0015486C"/>
    <w:rsid w:val="00191605"/>
    <w:rsid w:val="001C4F9E"/>
    <w:rsid w:val="00237177"/>
    <w:rsid w:val="00253FAA"/>
    <w:rsid w:val="002972E4"/>
    <w:rsid w:val="002B5DA0"/>
    <w:rsid w:val="002D5507"/>
    <w:rsid w:val="002F6273"/>
    <w:rsid w:val="0032765F"/>
    <w:rsid w:val="00335935"/>
    <w:rsid w:val="00340A6B"/>
    <w:rsid w:val="00370466"/>
    <w:rsid w:val="00380861"/>
    <w:rsid w:val="00396F3C"/>
    <w:rsid w:val="003A6137"/>
    <w:rsid w:val="003C55C7"/>
    <w:rsid w:val="003D2C3D"/>
    <w:rsid w:val="003D3BC5"/>
    <w:rsid w:val="003F6A6D"/>
    <w:rsid w:val="0041446A"/>
    <w:rsid w:val="00421C29"/>
    <w:rsid w:val="0044238B"/>
    <w:rsid w:val="0046263E"/>
    <w:rsid w:val="0046493A"/>
    <w:rsid w:val="00471B0C"/>
    <w:rsid w:val="00476947"/>
    <w:rsid w:val="00485CDD"/>
    <w:rsid w:val="004B303A"/>
    <w:rsid w:val="00516B06"/>
    <w:rsid w:val="00522930"/>
    <w:rsid w:val="00530E5D"/>
    <w:rsid w:val="00535E8F"/>
    <w:rsid w:val="00555321"/>
    <w:rsid w:val="005615C8"/>
    <w:rsid w:val="005657D8"/>
    <w:rsid w:val="005A1857"/>
    <w:rsid w:val="0060140B"/>
    <w:rsid w:val="0061737E"/>
    <w:rsid w:val="00620A45"/>
    <w:rsid w:val="00620B41"/>
    <w:rsid w:val="00635DB0"/>
    <w:rsid w:val="00677786"/>
    <w:rsid w:val="006A09F0"/>
    <w:rsid w:val="006C3827"/>
    <w:rsid w:val="006C652C"/>
    <w:rsid w:val="00701E65"/>
    <w:rsid w:val="00704B1F"/>
    <w:rsid w:val="00726AC4"/>
    <w:rsid w:val="007300ED"/>
    <w:rsid w:val="00741B27"/>
    <w:rsid w:val="007650AC"/>
    <w:rsid w:val="00787387"/>
    <w:rsid w:val="007D1CF1"/>
    <w:rsid w:val="007D7DE7"/>
    <w:rsid w:val="007E025A"/>
    <w:rsid w:val="007E26CB"/>
    <w:rsid w:val="007E6D53"/>
    <w:rsid w:val="008554A8"/>
    <w:rsid w:val="008A09D1"/>
    <w:rsid w:val="008A195C"/>
    <w:rsid w:val="008B21E1"/>
    <w:rsid w:val="008B673D"/>
    <w:rsid w:val="008C495E"/>
    <w:rsid w:val="008E3F0D"/>
    <w:rsid w:val="009024D3"/>
    <w:rsid w:val="00911273"/>
    <w:rsid w:val="009449EE"/>
    <w:rsid w:val="009456DB"/>
    <w:rsid w:val="00957260"/>
    <w:rsid w:val="00982504"/>
    <w:rsid w:val="009926BE"/>
    <w:rsid w:val="009D3C56"/>
    <w:rsid w:val="009E65D0"/>
    <w:rsid w:val="00A318E7"/>
    <w:rsid w:val="00A7445E"/>
    <w:rsid w:val="00AD2437"/>
    <w:rsid w:val="00B145AE"/>
    <w:rsid w:val="00B204DD"/>
    <w:rsid w:val="00B235B0"/>
    <w:rsid w:val="00B61B7A"/>
    <w:rsid w:val="00B840A9"/>
    <w:rsid w:val="00BC03CE"/>
    <w:rsid w:val="00C0278F"/>
    <w:rsid w:val="00C10532"/>
    <w:rsid w:val="00C40E8D"/>
    <w:rsid w:val="00C90F5E"/>
    <w:rsid w:val="00CC7758"/>
    <w:rsid w:val="00CF5466"/>
    <w:rsid w:val="00CF69D1"/>
    <w:rsid w:val="00D03CAB"/>
    <w:rsid w:val="00D11CB4"/>
    <w:rsid w:val="00D11E26"/>
    <w:rsid w:val="00D5098A"/>
    <w:rsid w:val="00D57D29"/>
    <w:rsid w:val="00D93881"/>
    <w:rsid w:val="00DB617A"/>
    <w:rsid w:val="00E32B6F"/>
    <w:rsid w:val="00E61834"/>
    <w:rsid w:val="00E72468"/>
    <w:rsid w:val="00E90CA0"/>
    <w:rsid w:val="00F02218"/>
    <w:rsid w:val="00F11106"/>
    <w:rsid w:val="00F17083"/>
    <w:rsid w:val="00F66AA4"/>
    <w:rsid w:val="00F72230"/>
    <w:rsid w:val="00FC6B1D"/>
    <w:rsid w:val="00FD4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95E"/>
    <w:pPr>
      <w:spacing w:before="200" w:after="0" w:line="320" w:lineRule="atLeast"/>
    </w:pPr>
    <w:rPr>
      <w:rFonts w:ascii="Arial" w:eastAsia="Times New Roman" w:hAnsi="Arial" w:cs="Times New Roman"/>
      <w:szCs w:val="20"/>
      <w:lang w:eastAsia="pl-PL"/>
    </w:rPr>
  </w:style>
  <w:style w:type="paragraph" w:styleId="Nagwek1">
    <w:name w:val="heading 1"/>
    <w:basedOn w:val="Normalny"/>
    <w:next w:val="Normalny"/>
    <w:link w:val="Nagwek1Znak"/>
    <w:uiPriority w:val="99"/>
    <w:qFormat/>
    <w:rsid w:val="008C495E"/>
    <w:pPr>
      <w:keepNext/>
      <w:spacing w:before="240" w:after="60"/>
      <w:outlineLvl w:val="0"/>
    </w:pPr>
    <w:rPr>
      <w:rFonts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C495E"/>
    <w:rPr>
      <w:rFonts w:ascii="Arial" w:eastAsia="Times New Roman" w:hAnsi="Arial" w:cs="Arial"/>
      <w:b/>
      <w:bCs/>
      <w:kern w:val="32"/>
      <w:sz w:val="32"/>
      <w:szCs w:val="32"/>
      <w:lang w:eastAsia="pl-PL"/>
    </w:rPr>
  </w:style>
  <w:style w:type="paragraph" w:styleId="Akapitzlist">
    <w:name w:val="List Paragraph"/>
    <w:basedOn w:val="Normalny"/>
    <w:link w:val="AkapitzlistZnak"/>
    <w:uiPriority w:val="34"/>
    <w:qFormat/>
    <w:rsid w:val="008C495E"/>
    <w:pPr>
      <w:ind w:left="708"/>
    </w:pPr>
  </w:style>
  <w:style w:type="character" w:customStyle="1" w:styleId="AkapitzlistZnak">
    <w:name w:val="Akapit z listą Znak"/>
    <w:link w:val="Akapitzlist"/>
    <w:uiPriority w:val="34"/>
    <w:rsid w:val="008C495E"/>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8C495E"/>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8C495E"/>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C495E"/>
    <w:rPr>
      <w:vertAlign w:val="superscript"/>
    </w:rPr>
  </w:style>
  <w:style w:type="paragraph" w:customStyle="1" w:styleId="Default">
    <w:name w:val="Default"/>
    <w:rsid w:val="008C495E"/>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table" w:styleId="Tabela-Siatka">
    <w:name w:val="Table Grid"/>
    <w:basedOn w:val="Standardowy"/>
    <w:uiPriority w:val="59"/>
    <w:rsid w:val="008C49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273"/>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127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370466"/>
    <w:rPr>
      <w:sz w:val="16"/>
      <w:szCs w:val="16"/>
    </w:rPr>
  </w:style>
  <w:style w:type="paragraph" w:styleId="Tekstkomentarza">
    <w:name w:val="annotation text"/>
    <w:basedOn w:val="Normalny"/>
    <w:link w:val="TekstkomentarzaZnak"/>
    <w:uiPriority w:val="99"/>
    <w:unhideWhenUsed/>
    <w:rsid w:val="00370466"/>
    <w:pPr>
      <w:spacing w:line="240" w:lineRule="auto"/>
    </w:pPr>
    <w:rPr>
      <w:sz w:val="20"/>
    </w:rPr>
  </w:style>
  <w:style w:type="character" w:customStyle="1" w:styleId="TekstkomentarzaZnak">
    <w:name w:val="Tekst komentarza Znak"/>
    <w:basedOn w:val="Domylnaczcionkaakapitu"/>
    <w:link w:val="Tekstkomentarza"/>
    <w:uiPriority w:val="99"/>
    <w:rsid w:val="0037046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0466"/>
    <w:rPr>
      <w:b/>
      <w:bCs/>
    </w:rPr>
  </w:style>
  <w:style w:type="character" w:customStyle="1" w:styleId="TematkomentarzaZnak">
    <w:name w:val="Temat komentarza Znak"/>
    <w:basedOn w:val="TekstkomentarzaZnak"/>
    <w:link w:val="Tematkomentarza"/>
    <w:uiPriority w:val="99"/>
    <w:semiHidden/>
    <w:rsid w:val="00370466"/>
    <w:rPr>
      <w:rFonts w:ascii="Arial" w:eastAsia="Times New Roman" w:hAnsi="Arial" w:cs="Times New Roman"/>
      <w:b/>
      <w:bCs/>
      <w:sz w:val="20"/>
      <w:szCs w:val="20"/>
      <w:lang w:eastAsia="pl-PL"/>
    </w:rPr>
  </w:style>
  <w:style w:type="paragraph" w:styleId="Nagwek">
    <w:name w:val="header"/>
    <w:aliases w:val="Znak Znak,Znak"/>
    <w:basedOn w:val="Normalny"/>
    <w:link w:val="NagwekZnak"/>
    <w:uiPriority w:val="99"/>
    <w:unhideWhenUsed/>
    <w:rsid w:val="00C0278F"/>
    <w:pPr>
      <w:tabs>
        <w:tab w:val="center" w:pos="4536"/>
        <w:tab w:val="right" w:pos="9072"/>
      </w:tabs>
      <w:spacing w:before="0" w:line="240" w:lineRule="auto"/>
    </w:pPr>
  </w:style>
  <w:style w:type="character" w:customStyle="1" w:styleId="NagwekZnak">
    <w:name w:val="Nagłówek Znak"/>
    <w:aliases w:val="Znak Znak Znak,Znak Znak1"/>
    <w:basedOn w:val="Domylnaczcionkaakapitu"/>
    <w:link w:val="Nagwek"/>
    <w:uiPriority w:val="99"/>
    <w:rsid w:val="00C0278F"/>
    <w:rPr>
      <w:rFonts w:ascii="Arial" w:eastAsia="Times New Roman" w:hAnsi="Arial" w:cs="Times New Roman"/>
      <w:szCs w:val="20"/>
      <w:lang w:eastAsia="pl-PL"/>
    </w:rPr>
  </w:style>
  <w:style w:type="paragraph" w:styleId="Stopka">
    <w:name w:val="footer"/>
    <w:basedOn w:val="Normalny"/>
    <w:link w:val="StopkaZnak"/>
    <w:uiPriority w:val="99"/>
    <w:unhideWhenUsed/>
    <w:rsid w:val="00C0278F"/>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C0278F"/>
    <w:rPr>
      <w:rFonts w:ascii="Arial" w:eastAsia="Times New Roman" w:hAnsi="Arial" w:cs="Times New Roman"/>
      <w:szCs w:val="20"/>
      <w:lang w:eastAsia="pl-PL"/>
    </w:rPr>
  </w:style>
  <w:style w:type="character" w:styleId="Wyrnieniedelikatne">
    <w:name w:val="Subtle Emphasis"/>
    <w:basedOn w:val="Domylnaczcionkaakapitu"/>
    <w:uiPriority w:val="19"/>
    <w:qFormat/>
    <w:rsid w:val="009449E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95E"/>
    <w:pPr>
      <w:spacing w:before="200" w:after="0" w:line="320" w:lineRule="atLeast"/>
    </w:pPr>
    <w:rPr>
      <w:rFonts w:ascii="Arial" w:eastAsia="Times New Roman" w:hAnsi="Arial" w:cs="Times New Roman"/>
      <w:szCs w:val="20"/>
      <w:lang w:eastAsia="pl-PL"/>
    </w:rPr>
  </w:style>
  <w:style w:type="paragraph" w:styleId="Nagwek1">
    <w:name w:val="heading 1"/>
    <w:basedOn w:val="Normalny"/>
    <w:next w:val="Normalny"/>
    <w:link w:val="Nagwek1Znak"/>
    <w:uiPriority w:val="99"/>
    <w:qFormat/>
    <w:rsid w:val="008C495E"/>
    <w:pPr>
      <w:keepNext/>
      <w:spacing w:before="240" w:after="60"/>
      <w:outlineLvl w:val="0"/>
    </w:pPr>
    <w:rPr>
      <w:rFonts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C495E"/>
    <w:rPr>
      <w:rFonts w:ascii="Arial" w:eastAsia="Times New Roman" w:hAnsi="Arial" w:cs="Arial"/>
      <w:b/>
      <w:bCs/>
      <w:kern w:val="32"/>
      <w:sz w:val="32"/>
      <w:szCs w:val="32"/>
      <w:lang w:eastAsia="pl-PL"/>
    </w:rPr>
  </w:style>
  <w:style w:type="paragraph" w:styleId="Akapitzlist">
    <w:name w:val="List Paragraph"/>
    <w:basedOn w:val="Normalny"/>
    <w:link w:val="AkapitzlistZnak"/>
    <w:uiPriority w:val="34"/>
    <w:qFormat/>
    <w:rsid w:val="008C495E"/>
    <w:pPr>
      <w:ind w:left="708"/>
    </w:pPr>
  </w:style>
  <w:style w:type="character" w:customStyle="1" w:styleId="AkapitzlistZnak">
    <w:name w:val="Akapit z listą Znak"/>
    <w:link w:val="Akapitzlist"/>
    <w:uiPriority w:val="34"/>
    <w:rsid w:val="008C495E"/>
    <w:rPr>
      <w:rFonts w:ascii="Arial" w:eastAsia="Times New Roman" w:hAnsi="Arial" w:cs="Times New Roman"/>
      <w:szCs w:val="20"/>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8C495E"/>
    <w:pPr>
      <w:spacing w:before="0" w:line="240" w:lineRule="auto"/>
    </w:pPr>
    <w:rPr>
      <w:rFonts w:ascii="Times New Roman" w:hAnsi="Times New Roman"/>
      <w:sz w:val="20"/>
      <w:szCs w:val="24"/>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8C495E"/>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C495E"/>
    <w:rPr>
      <w:vertAlign w:val="superscript"/>
    </w:rPr>
  </w:style>
  <w:style w:type="paragraph" w:customStyle="1" w:styleId="Default">
    <w:name w:val="Default"/>
    <w:rsid w:val="008C495E"/>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table" w:styleId="Tabela-Siatka">
    <w:name w:val="Table Grid"/>
    <w:basedOn w:val="Standardowy"/>
    <w:uiPriority w:val="59"/>
    <w:rsid w:val="008C49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11273"/>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127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370466"/>
    <w:rPr>
      <w:sz w:val="16"/>
      <w:szCs w:val="16"/>
    </w:rPr>
  </w:style>
  <w:style w:type="paragraph" w:styleId="Tekstkomentarza">
    <w:name w:val="annotation text"/>
    <w:basedOn w:val="Normalny"/>
    <w:link w:val="TekstkomentarzaZnak"/>
    <w:uiPriority w:val="99"/>
    <w:unhideWhenUsed/>
    <w:rsid w:val="00370466"/>
    <w:pPr>
      <w:spacing w:line="240" w:lineRule="auto"/>
    </w:pPr>
    <w:rPr>
      <w:sz w:val="20"/>
    </w:rPr>
  </w:style>
  <w:style w:type="character" w:customStyle="1" w:styleId="TekstkomentarzaZnak">
    <w:name w:val="Tekst komentarza Znak"/>
    <w:basedOn w:val="Domylnaczcionkaakapitu"/>
    <w:link w:val="Tekstkomentarza"/>
    <w:uiPriority w:val="99"/>
    <w:rsid w:val="00370466"/>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0466"/>
    <w:rPr>
      <w:b/>
      <w:bCs/>
    </w:rPr>
  </w:style>
  <w:style w:type="character" w:customStyle="1" w:styleId="TematkomentarzaZnak">
    <w:name w:val="Temat komentarza Znak"/>
    <w:basedOn w:val="TekstkomentarzaZnak"/>
    <w:link w:val="Tematkomentarza"/>
    <w:uiPriority w:val="99"/>
    <w:semiHidden/>
    <w:rsid w:val="00370466"/>
    <w:rPr>
      <w:rFonts w:ascii="Arial" w:eastAsia="Times New Roman" w:hAnsi="Arial" w:cs="Times New Roman"/>
      <w:b/>
      <w:bCs/>
      <w:sz w:val="20"/>
      <w:szCs w:val="20"/>
      <w:lang w:eastAsia="pl-PL"/>
    </w:rPr>
  </w:style>
  <w:style w:type="paragraph" w:styleId="Nagwek">
    <w:name w:val="header"/>
    <w:aliases w:val="Znak Znak,Znak"/>
    <w:basedOn w:val="Normalny"/>
    <w:link w:val="NagwekZnak"/>
    <w:uiPriority w:val="99"/>
    <w:unhideWhenUsed/>
    <w:rsid w:val="00C0278F"/>
    <w:pPr>
      <w:tabs>
        <w:tab w:val="center" w:pos="4536"/>
        <w:tab w:val="right" w:pos="9072"/>
      </w:tabs>
      <w:spacing w:before="0" w:line="240" w:lineRule="auto"/>
    </w:pPr>
  </w:style>
  <w:style w:type="character" w:customStyle="1" w:styleId="NagwekZnak">
    <w:name w:val="Nagłówek Znak"/>
    <w:aliases w:val="Znak Znak Znak,Znak Znak1"/>
    <w:basedOn w:val="Domylnaczcionkaakapitu"/>
    <w:link w:val="Nagwek"/>
    <w:uiPriority w:val="99"/>
    <w:rsid w:val="00C0278F"/>
    <w:rPr>
      <w:rFonts w:ascii="Arial" w:eastAsia="Times New Roman" w:hAnsi="Arial" w:cs="Times New Roman"/>
      <w:szCs w:val="20"/>
      <w:lang w:eastAsia="pl-PL"/>
    </w:rPr>
  </w:style>
  <w:style w:type="paragraph" w:styleId="Stopka">
    <w:name w:val="footer"/>
    <w:basedOn w:val="Normalny"/>
    <w:link w:val="StopkaZnak"/>
    <w:uiPriority w:val="99"/>
    <w:unhideWhenUsed/>
    <w:rsid w:val="00C0278F"/>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C0278F"/>
    <w:rPr>
      <w:rFonts w:ascii="Arial" w:eastAsia="Times New Roman" w:hAnsi="Arial" w:cs="Times New Roman"/>
      <w:szCs w:val="20"/>
      <w:lang w:eastAsia="pl-PL"/>
    </w:rPr>
  </w:style>
  <w:style w:type="character" w:styleId="Wyrnieniedelikatne">
    <w:name w:val="Subtle Emphasis"/>
    <w:basedOn w:val="Domylnaczcionkaakapitu"/>
    <w:uiPriority w:val="19"/>
    <w:qFormat/>
    <w:rsid w:val="009449E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5934">
      <w:bodyDiv w:val="1"/>
      <w:marLeft w:val="0"/>
      <w:marRight w:val="0"/>
      <w:marTop w:val="0"/>
      <w:marBottom w:val="0"/>
      <w:divBdr>
        <w:top w:val="none" w:sz="0" w:space="0" w:color="auto"/>
        <w:left w:val="none" w:sz="0" w:space="0" w:color="auto"/>
        <w:bottom w:val="none" w:sz="0" w:space="0" w:color="auto"/>
        <w:right w:val="none" w:sz="0" w:space="0" w:color="auto"/>
      </w:divBdr>
      <w:divsChild>
        <w:div w:id="410272907">
          <w:marLeft w:val="0"/>
          <w:marRight w:val="0"/>
          <w:marTop w:val="0"/>
          <w:marBottom w:val="0"/>
          <w:divBdr>
            <w:top w:val="none" w:sz="0" w:space="0" w:color="auto"/>
            <w:left w:val="none" w:sz="0" w:space="0" w:color="auto"/>
            <w:bottom w:val="none" w:sz="0" w:space="0" w:color="auto"/>
            <w:right w:val="none" w:sz="0" w:space="0" w:color="auto"/>
          </w:divBdr>
        </w:div>
        <w:div w:id="623923395">
          <w:marLeft w:val="0"/>
          <w:marRight w:val="0"/>
          <w:marTop w:val="0"/>
          <w:marBottom w:val="0"/>
          <w:divBdr>
            <w:top w:val="none" w:sz="0" w:space="0" w:color="auto"/>
            <w:left w:val="none" w:sz="0" w:space="0" w:color="auto"/>
            <w:bottom w:val="none" w:sz="0" w:space="0" w:color="auto"/>
            <w:right w:val="none" w:sz="0" w:space="0" w:color="auto"/>
          </w:divBdr>
        </w:div>
        <w:div w:id="1725833036">
          <w:marLeft w:val="0"/>
          <w:marRight w:val="0"/>
          <w:marTop w:val="0"/>
          <w:marBottom w:val="0"/>
          <w:divBdr>
            <w:top w:val="none" w:sz="0" w:space="0" w:color="auto"/>
            <w:left w:val="none" w:sz="0" w:space="0" w:color="auto"/>
            <w:bottom w:val="none" w:sz="0" w:space="0" w:color="auto"/>
            <w:right w:val="none" w:sz="0" w:space="0" w:color="auto"/>
          </w:divBdr>
        </w:div>
        <w:div w:id="1212884421">
          <w:marLeft w:val="0"/>
          <w:marRight w:val="0"/>
          <w:marTop w:val="0"/>
          <w:marBottom w:val="0"/>
          <w:divBdr>
            <w:top w:val="none" w:sz="0" w:space="0" w:color="auto"/>
            <w:left w:val="none" w:sz="0" w:space="0" w:color="auto"/>
            <w:bottom w:val="none" w:sz="0" w:space="0" w:color="auto"/>
            <w:right w:val="none" w:sz="0" w:space="0" w:color="auto"/>
          </w:divBdr>
        </w:div>
        <w:div w:id="254944292">
          <w:marLeft w:val="0"/>
          <w:marRight w:val="0"/>
          <w:marTop w:val="0"/>
          <w:marBottom w:val="0"/>
          <w:divBdr>
            <w:top w:val="none" w:sz="0" w:space="0" w:color="auto"/>
            <w:left w:val="none" w:sz="0" w:space="0" w:color="auto"/>
            <w:bottom w:val="none" w:sz="0" w:space="0" w:color="auto"/>
            <w:right w:val="none" w:sz="0" w:space="0" w:color="auto"/>
          </w:divBdr>
        </w:div>
        <w:div w:id="436486998">
          <w:marLeft w:val="0"/>
          <w:marRight w:val="0"/>
          <w:marTop w:val="0"/>
          <w:marBottom w:val="0"/>
          <w:divBdr>
            <w:top w:val="none" w:sz="0" w:space="0" w:color="auto"/>
            <w:left w:val="none" w:sz="0" w:space="0" w:color="auto"/>
            <w:bottom w:val="none" w:sz="0" w:space="0" w:color="auto"/>
            <w:right w:val="none" w:sz="0" w:space="0" w:color="auto"/>
          </w:divBdr>
        </w:div>
        <w:div w:id="1746756766">
          <w:marLeft w:val="0"/>
          <w:marRight w:val="0"/>
          <w:marTop w:val="0"/>
          <w:marBottom w:val="0"/>
          <w:divBdr>
            <w:top w:val="none" w:sz="0" w:space="0" w:color="auto"/>
            <w:left w:val="none" w:sz="0" w:space="0" w:color="auto"/>
            <w:bottom w:val="none" w:sz="0" w:space="0" w:color="auto"/>
            <w:right w:val="none" w:sz="0" w:space="0" w:color="auto"/>
          </w:divBdr>
        </w:div>
        <w:div w:id="426731078">
          <w:marLeft w:val="0"/>
          <w:marRight w:val="0"/>
          <w:marTop w:val="0"/>
          <w:marBottom w:val="0"/>
          <w:divBdr>
            <w:top w:val="none" w:sz="0" w:space="0" w:color="auto"/>
            <w:left w:val="none" w:sz="0" w:space="0" w:color="auto"/>
            <w:bottom w:val="none" w:sz="0" w:space="0" w:color="auto"/>
            <w:right w:val="none" w:sz="0" w:space="0" w:color="auto"/>
          </w:divBdr>
        </w:div>
        <w:div w:id="604387051">
          <w:marLeft w:val="0"/>
          <w:marRight w:val="0"/>
          <w:marTop w:val="0"/>
          <w:marBottom w:val="0"/>
          <w:divBdr>
            <w:top w:val="none" w:sz="0" w:space="0" w:color="auto"/>
            <w:left w:val="none" w:sz="0" w:space="0" w:color="auto"/>
            <w:bottom w:val="none" w:sz="0" w:space="0" w:color="auto"/>
            <w:right w:val="none" w:sz="0" w:space="0" w:color="auto"/>
          </w:divBdr>
        </w:div>
        <w:div w:id="2045862006">
          <w:marLeft w:val="0"/>
          <w:marRight w:val="0"/>
          <w:marTop w:val="0"/>
          <w:marBottom w:val="0"/>
          <w:divBdr>
            <w:top w:val="none" w:sz="0" w:space="0" w:color="auto"/>
            <w:left w:val="none" w:sz="0" w:space="0" w:color="auto"/>
            <w:bottom w:val="none" w:sz="0" w:space="0" w:color="auto"/>
            <w:right w:val="none" w:sz="0" w:space="0" w:color="auto"/>
          </w:divBdr>
        </w:div>
        <w:div w:id="911810918">
          <w:marLeft w:val="0"/>
          <w:marRight w:val="0"/>
          <w:marTop w:val="0"/>
          <w:marBottom w:val="0"/>
          <w:divBdr>
            <w:top w:val="none" w:sz="0" w:space="0" w:color="auto"/>
            <w:left w:val="none" w:sz="0" w:space="0" w:color="auto"/>
            <w:bottom w:val="none" w:sz="0" w:space="0" w:color="auto"/>
            <w:right w:val="none" w:sz="0" w:space="0" w:color="auto"/>
          </w:divBdr>
        </w:div>
        <w:div w:id="1426538952">
          <w:marLeft w:val="0"/>
          <w:marRight w:val="0"/>
          <w:marTop w:val="0"/>
          <w:marBottom w:val="0"/>
          <w:divBdr>
            <w:top w:val="none" w:sz="0" w:space="0" w:color="auto"/>
            <w:left w:val="none" w:sz="0" w:space="0" w:color="auto"/>
            <w:bottom w:val="none" w:sz="0" w:space="0" w:color="auto"/>
            <w:right w:val="none" w:sz="0" w:space="0" w:color="auto"/>
          </w:divBdr>
        </w:div>
        <w:div w:id="538787890">
          <w:marLeft w:val="0"/>
          <w:marRight w:val="0"/>
          <w:marTop w:val="0"/>
          <w:marBottom w:val="0"/>
          <w:divBdr>
            <w:top w:val="none" w:sz="0" w:space="0" w:color="auto"/>
            <w:left w:val="none" w:sz="0" w:space="0" w:color="auto"/>
            <w:bottom w:val="none" w:sz="0" w:space="0" w:color="auto"/>
            <w:right w:val="none" w:sz="0" w:space="0" w:color="auto"/>
          </w:divBdr>
        </w:div>
        <w:div w:id="1582913102">
          <w:marLeft w:val="0"/>
          <w:marRight w:val="0"/>
          <w:marTop w:val="0"/>
          <w:marBottom w:val="0"/>
          <w:divBdr>
            <w:top w:val="none" w:sz="0" w:space="0" w:color="auto"/>
            <w:left w:val="none" w:sz="0" w:space="0" w:color="auto"/>
            <w:bottom w:val="none" w:sz="0" w:space="0" w:color="auto"/>
            <w:right w:val="none" w:sz="0" w:space="0" w:color="auto"/>
          </w:divBdr>
        </w:div>
        <w:div w:id="205148041">
          <w:marLeft w:val="0"/>
          <w:marRight w:val="0"/>
          <w:marTop w:val="0"/>
          <w:marBottom w:val="0"/>
          <w:divBdr>
            <w:top w:val="none" w:sz="0" w:space="0" w:color="auto"/>
            <w:left w:val="none" w:sz="0" w:space="0" w:color="auto"/>
            <w:bottom w:val="none" w:sz="0" w:space="0" w:color="auto"/>
            <w:right w:val="none" w:sz="0" w:space="0" w:color="auto"/>
          </w:divBdr>
        </w:div>
        <w:div w:id="1466192876">
          <w:marLeft w:val="0"/>
          <w:marRight w:val="0"/>
          <w:marTop w:val="0"/>
          <w:marBottom w:val="0"/>
          <w:divBdr>
            <w:top w:val="none" w:sz="0" w:space="0" w:color="auto"/>
            <w:left w:val="none" w:sz="0" w:space="0" w:color="auto"/>
            <w:bottom w:val="none" w:sz="0" w:space="0" w:color="auto"/>
            <w:right w:val="none" w:sz="0" w:space="0" w:color="auto"/>
          </w:divBdr>
        </w:div>
        <w:div w:id="535583941">
          <w:marLeft w:val="0"/>
          <w:marRight w:val="0"/>
          <w:marTop w:val="0"/>
          <w:marBottom w:val="0"/>
          <w:divBdr>
            <w:top w:val="none" w:sz="0" w:space="0" w:color="auto"/>
            <w:left w:val="none" w:sz="0" w:space="0" w:color="auto"/>
            <w:bottom w:val="none" w:sz="0" w:space="0" w:color="auto"/>
            <w:right w:val="none" w:sz="0" w:space="0" w:color="auto"/>
          </w:divBdr>
        </w:div>
      </w:divsChild>
    </w:div>
    <w:div w:id="456802253">
      <w:bodyDiv w:val="1"/>
      <w:marLeft w:val="0"/>
      <w:marRight w:val="0"/>
      <w:marTop w:val="0"/>
      <w:marBottom w:val="0"/>
      <w:divBdr>
        <w:top w:val="none" w:sz="0" w:space="0" w:color="auto"/>
        <w:left w:val="none" w:sz="0" w:space="0" w:color="auto"/>
        <w:bottom w:val="none" w:sz="0" w:space="0" w:color="auto"/>
        <w:right w:val="none" w:sz="0" w:space="0" w:color="auto"/>
      </w:divBdr>
    </w:div>
    <w:div w:id="1179926064">
      <w:bodyDiv w:val="1"/>
      <w:marLeft w:val="0"/>
      <w:marRight w:val="0"/>
      <w:marTop w:val="0"/>
      <w:marBottom w:val="0"/>
      <w:divBdr>
        <w:top w:val="none" w:sz="0" w:space="0" w:color="auto"/>
        <w:left w:val="none" w:sz="0" w:space="0" w:color="auto"/>
        <w:bottom w:val="none" w:sz="0" w:space="0" w:color="auto"/>
        <w:right w:val="none" w:sz="0" w:space="0" w:color="auto"/>
      </w:divBdr>
      <w:divsChild>
        <w:div w:id="977882197">
          <w:marLeft w:val="0"/>
          <w:marRight w:val="0"/>
          <w:marTop w:val="0"/>
          <w:marBottom w:val="0"/>
          <w:divBdr>
            <w:top w:val="none" w:sz="0" w:space="0" w:color="auto"/>
            <w:left w:val="none" w:sz="0" w:space="0" w:color="auto"/>
            <w:bottom w:val="none" w:sz="0" w:space="0" w:color="auto"/>
            <w:right w:val="none" w:sz="0" w:space="0" w:color="auto"/>
          </w:divBdr>
        </w:div>
        <w:div w:id="1958638583">
          <w:marLeft w:val="0"/>
          <w:marRight w:val="0"/>
          <w:marTop w:val="0"/>
          <w:marBottom w:val="0"/>
          <w:divBdr>
            <w:top w:val="none" w:sz="0" w:space="0" w:color="auto"/>
            <w:left w:val="none" w:sz="0" w:space="0" w:color="auto"/>
            <w:bottom w:val="none" w:sz="0" w:space="0" w:color="auto"/>
            <w:right w:val="none" w:sz="0" w:space="0" w:color="auto"/>
          </w:divBdr>
        </w:div>
        <w:div w:id="1650478800">
          <w:marLeft w:val="0"/>
          <w:marRight w:val="0"/>
          <w:marTop w:val="0"/>
          <w:marBottom w:val="0"/>
          <w:divBdr>
            <w:top w:val="none" w:sz="0" w:space="0" w:color="auto"/>
            <w:left w:val="none" w:sz="0" w:space="0" w:color="auto"/>
            <w:bottom w:val="none" w:sz="0" w:space="0" w:color="auto"/>
            <w:right w:val="none" w:sz="0" w:space="0" w:color="auto"/>
          </w:divBdr>
        </w:div>
        <w:div w:id="455373899">
          <w:marLeft w:val="0"/>
          <w:marRight w:val="0"/>
          <w:marTop w:val="0"/>
          <w:marBottom w:val="0"/>
          <w:divBdr>
            <w:top w:val="none" w:sz="0" w:space="0" w:color="auto"/>
            <w:left w:val="none" w:sz="0" w:space="0" w:color="auto"/>
            <w:bottom w:val="none" w:sz="0" w:space="0" w:color="auto"/>
            <w:right w:val="none" w:sz="0" w:space="0" w:color="auto"/>
          </w:divBdr>
        </w:div>
        <w:div w:id="269972616">
          <w:marLeft w:val="0"/>
          <w:marRight w:val="0"/>
          <w:marTop w:val="0"/>
          <w:marBottom w:val="0"/>
          <w:divBdr>
            <w:top w:val="none" w:sz="0" w:space="0" w:color="auto"/>
            <w:left w:val="none" w:sz="0" w:space="0" w:color="auto"/>
            <w:bottom w:val="none" w:sz="0" w:space="0" w:color="auto"/>
            <w:right w:val="none" w:sz="0" w:space="0" w:color="auto"/>
          </w:divBdr>
        </w:div>
        <w:div w:id="917246364">
          <w:marLeft w:val="0"/>
          <w:marRight w:val="0"/>
          <w:marTop w:val="0"/>
          <w:marBottom w:val="0"/>
          <w:divBdr>
            <w:top w:val="none" w:sz="0" w:space="0" w:color="auto"/>
            <w:left w:val="none" w:sz="0" w:space="0" w:color="auto"/>
            <w:bottom w:val="none" w:sz="0" w:space="0" w:color="auto"/>
            <w:right w:val="none" w:sz="0" w:space="0" w:color="auto"/>
          </w:divBdr>
        </w:div>
        <w:div w:id="322396815">
          <w:marLeft w:val="0"/>
          <w:marRight w:val="0"/>
          <w:marTop w:val="0"/>
          <w:marBottom w:val="0"/>
          <w:divBdr>
            <w:top w:val="none" w:sz="0" w:space="0" w:color="auto"/>
            <w:left w:val="none" w:sz="0" w:space="0" w:color="auto"/>
            <w:bottom w:val="none" w:sz="0" w:space="0" w:color="auto"/>
            <w:right w:val="none" w:sz="0" w:space="0" w:color="auto"/>
          </w:divBdr>
        </w:div>
        <w:div w:id="918367826">
          <w:marLeft w:val="0"/>
          <w:marRight w:val="0"/>
          <w:marTop w:val="0"/>
          <w:marBottom w:val="0"/>
          <w:divBdr>
            <w:top w:val="none" w:sz="0" w:space="0" w:color="auto"/>
            <w:left w:val="none" w:sz="0" w:space="0" w:color="auto"/>
            <w:bottom w:val="none" w:sz="0" w:space="0" w:color="auto"/>
            <w:right w:val="none" w:sz="0" w:space="0" w:color="auto"/>
          </w:divBdr>
        </w:div>
        <w:div w:id="113402654">
          <w:marLeft w:val="0"/>
          <w:marRight w:val="0"/>
          <w:marTop w:val="0"/>
          <w:marBottom w:val="0"/>
          <w:divBdr>
            <w:top w:val="none" w:sz="0" w:space="0" w:color="auto"/>
            <w:left w:val="none" w:sz="0" w:space="0" w:color="auto"/>
            <w:bottom w:val="none" w:sz="0" w:space="0" w:color="auto"/>
            <w:right w:val="none" w:sz="0" w:space="0" w:color="auto"/>
          </w:divBdr>
        </w:div>
        <w:div w:id="437718158">
          <w:marLeft w:val="0"/>
          <w:marRight w:val="0"/>
          <w:marTop w:val="0"/>
          <w:marBottom w:val="0"/>
          <w:divBdr>
            <w:top w:val="none" w:sz="0" w:space="0" w:color="auto"/>
            <w:left w:val="none" w:sz="0" w:space="0" w:color="auto"/>
            <w:bottom w:val="none" w:sz="0" w:space="0" w:color="auto"/>
            <w:right w:val="none" w:sz="0" w:space="0" w:color="auto"/>
          </w:divBdr>
        </w:div>
        <w:div w:id="772363980">
          <w:marLeft w:val="0"/>
          <w:marRight w:val="0"/>
          <w:marTop w:val="0"/>
          <w:marBottom w:val="0"/>
          <w:divBdr>
            <w:top w:val="none" w:sz="0" w:space="0" w:color="auto"/>
            <w:left w:val="none" w:sz="0" w:space="0" w:color="auto"/>
            <w:bottom w:val="none" w:sz="0" w:space="0" w:color="auto"/>
            <w:right w:val="none" w:sz="0" w:space="0" w:color="auto"/>
          </w:divBdr>
        </w:div>
        <w:div w:id="1937398903">
          <w:marLeft w:val="0"/>
          <w:marRight w:val="0"/>
          <w:marTop w:val="0"/>
          <w:marBottom w:val="0"/>
          <w:divBdr>
            <w:top w:val="none" w:sz="0" w:space="0" w:color="auto"/>
            <w:left w:val="none" w:sz="0" w:space="0" w:color="auto"/>
            <w:bottom w:val="none" w:sz="0" w:space="0" w:color="auto"/>
            <w:right w:val="none" w:sz="0" w:space="0" w:color="auto"/>
          </w:divBdr>
        </w:div>
        <w:div w:id="1927882391">
          <w:marLeft w:val="0"/>
          <w:marRight w:val="0"/>
          <w:marTop w:val="0"/>
          <w:marBottom w:val="0"/>
          <w:divBdr>
            <w:top w:val="none" w:sz="0" w:space="0" w:color="auto"/>
            <w:left w:val="none" w:sz="0" w:space="0" w:color="auto"/>
            <w:bottom w:val="none" w:sz="0" w:space="0" w:color="auto"/>
            <w:right w:val="none" w:sz="0" w:space="0" w:color="auto"/>
          </w:divBdr>
        </w:div>
        <w:div w:id="135490459">
          <w:marLeft w:val="0"/>
          <w:marRight w:val="0"/>
          <w:marTop w:val="0"/>
          <w:marBottom w:val="0"/>
          <w:divBdr>
            <w:top w:val="none" w:sz="0" w:space="0" w:color="auto"/>
            <w:left w:val="none" w:sz="0" w:space="0" w:color="auto"/>
            <w:bottom w:val="none" w:sz="0" w:space="0" w:color="auto"/>
            <w:right w:val="none" w:sz="0" w:space="0" w:color="auto"/>
          </w:divBdr>
        </w:div>
        <w:div w:id="1296987735">
          <w:marLeft w:val="0"/>
          <w:marRight w:val="0"/>
          <w:marTop w:val="0"/>
          <w:marBottom w:val="0"/>
          <w:divBdr>
            <w:top w:val="none" w:sz="0" w:space="0" w:color="auto"/>
            <w:left w:val="none" w:sz="0" w:space="0" w:color="auto"/>
            <w:bottom w:val="none" w:sz="0" w:space="0" w:color="auto"/>
            <w:right w:val="none" w:sz="0" w:space="0" w:color="auto"/>
          </w:divBdr>
        </w:div>
        <w:div w:id="147289187">
          <w:marLeft w:val="0"/>
          <w:marRight w:val="0"/>
          <w:marTop w:val="0"/>
          <w:marBottom w:val="0"/>
          <w:divBdr>
            <w:top w:val="none" w:sz="0" w:space="0" w:color="auto"/>
            <w:left w:val="none" w:sz="0" w:space="0" w:color="auto"/>
            <w:bottom w:val="none" w:sz="0" w:space="0" w:color="auto"/>
            <w:right w:val="none" w:sz="0" w:space="0" w:color="auto"/>
          </w:divBdr>
        </w:div>
        <w:div w:id="807211019">
          <w:marLeft w:val="0"/>
          <w:marRight w:val="0"/>
          <w:marTop w:val="0"/>
          <w:marBottom w:val="0"/>
          <w:divBdr>
            <w:top w:val="none" w:sz="0" w:space="0" w:color="auto"/>
            <w:left w:val="none" w:sz="0" w:space="0" w:color="auto"/>
            <w:bottom w:val="none" w:sz="0" w:space="0" w:color="auto"/>
            <w:right w:val="none" w:sz="0" w:space="0" w:color="auto"/>
          </w:divBdr>
        </w:div>
        <w:div w:id="1956057939">
          <w:marLeft w:val="0"/>
          <w:marRight w:val="0"/>
          <w:marTop w:val="0"/>
          <w:marBottom w:val="0"/>
          <w:divBdr>
            <w:top w:val="none" w:sz="0" w:space="0" w:color="auto"/>
            <w:left w:val="none" w:sz="0" w:space="0" w:color="auto"/>
            <w:bottom w:val="none" w:sz="0" w:space="0" w:color="auto"/>
            <w:right w:val="none" w:sz="0" w:space="0" w:color="auto"/>
          </w:divBdr>
        </w:div>
        <w:div w:id="1787504756">
          <w:marLeft w:val="0"/>
          <w:marRight w:val="0"/>
          <w:marTop w:val="0"/>
          <w:marBottom w:val="0"/>
          <w:divBdr>
            <w:top w:val="none" w:sz="0" w:space="0" w:color="auto"/>
            <w:left w:val="none" w:sz="0" w:space="0" w:color="auto"/>
            <w:bottom w:val="none" w:sz="0" w:space="0" w:color="auto"/>
            <w:right w:val="none" w:sz="0" w:space="0" w:color="auto"/>
          </w:divBdr>
        </w:div>
        <w:div w:id="131755798">
          <w:marLeft w:val="0"/>
          <w:marRight w:val="0"/>
          <w:marTop w:val="0"/>
          <w:marBottom w:val="0"/>
          <w:divBdr>
            <w:top w:val="none" w:sz="0" w:space="0" w:color="auto"/>
            <w:left w:val="none" w:sz="0" w:space="0" w:color="auto"/>
            <w:bottom w:val="none" w:sz="0" w:space="0" w:color="auto"/>
            <w:right w:val="none" w:sz="0" w:space="0" w:color="auto"/>
          </w:divBdr>
        </w:div>
        <w:div w:id="1532063376">
          <w:marLeft w:val="0"/>
          <w:marRight w:val="0"/>
          <w:marTop w:val="0"/>
          <w:marBottom w:val="0"/>
          <w:divBdr>
            <w:top w:val="none" w:sz="0" w:space="0" w:color="auto"/>
            <w:left w:val="none" w:sz="0" w:space="0" w:color="auto"/>
            <w:bottom w:val="none" w:sz="0" w:space="0" w:color="auto"/>
            <w:right w:val="none" w:sz="0" w:space="0" w:color="auto"/>
          </w:divBdr>
        </w:div>
        <w:div w:id="1171529712">
          <w:marLeft w:val="0"/>
          <w:marRight w:val="0"/>
          <w:marTop w:val="0"/>
          <w:marBottom w:val="0"/>
          <w:divBdr>
            <w:top w:val="none" w:sz="0" w:space="0" w:color="auto"/>
            <w:left w:val="none" w:sz="0" w:space="0" w:color="auto"/>
            <w:bottom w:val="none" w:sz="0" w:space="0" w:color="auto"/>
            <w:right w:val="none" w:sz="0" w:space="0" w:color="auto"/>
          </w:divBdr>
        </w:div>
        <w:div w:id="1193226964">
          <w:marLeft w:val="0"/>
          <w:marRight w:val="0"/>
          <w:marTop w:val="0"/>
          <w:marBottom w:val="0"/>
          <w:divBdr>
            <w:top w:val="none" w:sz="0" w:space="0" w:color="auto"/>
            <w:left w:val="none" w:sz="0" w:space="0" w:color="auto"/>
            <w:bottom w:val="none" w:sz="0" w:space="0" w:color="auto"/>
            <w:right w:val="none" w:sz="0" w:space="0" w:color="auto"/>
          </w:divBdr>
        </w:div>
        <w:div w:id="302125538">
          <w:marLeft w:val="0"/>
          <w:marRight w:val="0"/>
          <w:marTop w:val="0"/>
          <w:marBottom w:val="0"/>
          <w:divBdr>
            <w:top w:val="none" w:sz="0" w:space="0" w:color="auto"/>
            <w:left w:val="none" w:sz="0" w:space="0" w:color="auto"/>
            <w:bottom w:val="none" w:sz="0" w:space="0" w:color="auto"/>
            <w:right w:val="none" w:sz="0" w:space="0" w:color="auto"/>
          </w:divBdr>
        </w:div>
        <w:div w:id="379404528">
          <w:marLeft w:val="0"/>
          <w:marRight w:val="0"/>
          <w:marTop w:val="0"/>
          <w:marBottom w:val="0"/>
          <w:divBdr>
            <w:top w:val="none" w:sz="0" w:space="0" w:color="auto"/>
            <w:left w:val="none" w:sz="0" w:space="0" w:color="auto"/>
            <w:bottom w:val="none" w:sz="0" w:space="0" w:color="auto"/>
            <w:right w:val="none" w:sz="0" w:space="0" w:color="auto"/>
          </w:divBdr>
        </w:div>
        <w:div w:id="1552955698">
          <w:marLeft w:val="0"/>
          <w:marRight w:val="0"/>
          <w:marTop w:val="0"/>
          <w:marBottom w:val="0"/>
          <w:divBdr>
            <w:top w:val="none" w:sz="0" w:space="0" w:color="auto"/>
            <w:left w:val="none" w:sz="0" w:space="0" w:color="auto"/>
            <w:bottom w:val="none" w:sz="0" w:space="0" w:color="auto"/>
            <w:right w:val="none" w:sz="0" w:space="0" w:color="auto"/>
          </w:divBdr>
        </w:div>
        <w:div w:id="1530995977">
          <w:marLeft w:val="0"/>
          <w:marRight w:val="0"/>
          <w:marTop w:val="0"/>
          <w:marBottom w:val="0"/>
          <w:divBdr>
            <w:top w:val="none" w:sz="0" w:space="0" w:color="auto"/>
            <w:left w:val="none" w:sz="0" w:space="0" w:color="auto"/>
            <w:bottom w:val="none" w:sz="0" w:space="0" w:color="auto"/>
            <w:right w:val="none" w:sz="0" w:space="0" w:color="auto"/>
          </w:divBdr>
        </w:div>
        <w:div w:id="1766994663">
          <w:marLeft w:val="0"/>
          <w:marRight w:val="0"/>
          <w:marTop w:val="0"/>
          <w:marBottom w:val="0"/>
          <w:divBdr>
            <w:top w:val="none" w:sz="0" w:space="0" w:color="auto"/>
            <w:left w:val="none" w:sz="0" w:space="0" w:color="auto"/>
            <w:bottom w:val="none" w:sz="0" w:space="0" w:color="auto"/>
            <w:right w:val="none" w:sz="0" w:space="0" w:color="auto"/>
          </w:divBdr>
        </w:div>
        <w:div w:id="1480995892">
          <w:marLeft w:val="0"/>
          <w:marRight w:val="0"/>
          <w:marTop w:val="0"/>
          <w:marBottom w:val="0"/>
          <w:divBdr>
            <w:top w:val="none" w:sz="0" w:space="0" w:color="auto"/>
            <w:left w:val="none" w:sz="0" w:space="0" w:color="auto"/>
            <w:bottom w:val="none" w:sz="0" w:space="0" w:color="auto"/>
            <w:right w:val="none" w:sz="0" w:space="0" w:color="auto"/>
          </w:divBdr>
        </w:div>
      </w:divsChild>
    </w:div>
    <w:div w:id="1189217872">
      <w:bodyDiv w:val="1"/>
      <w:marLeft w:val="0"/>
      <w:marRight w:val="0"/>
      <w:marTop w:val="0"/>
      <w:marBottom w:val="0"/>
      <w:divBdr>
        <w:top w:val="none" w:sz="0" w:space="0" w:color="auto"/>
        <w:left w:val="none" w:sz="0" w:space="0" w:color="auto"/>
        <w:bottom w:val="none" w:sz="0" w:space="0" w:color="auto"/>
        <w:right w:val="none" w:sz="0" w:space="0" w:color="auto"/>
      </w:divBdr>
      <w:divsChild>
        <w:div w:id="1877887024">
          <w:marLeft w:val="0"/>
          <w:marRight w:val="0"/>
          <w:marTop w:val="0"/>
          <w:marBottom w:val="0"/>
          <w:divBdr>
            <w:top w:val="none" w:sz="0" w:space="0" w:color="auto"/>
            <w:left w:val="none" w:sz="0" w:space="0" w:color="auto"/>
            <w:bottom w:val="none" w:sz="0" w:space="0" w:color="auto"/>
            <w:right w:val="none" w:sz="0" w:space="0" w:color="auto"/>
          </w:divBdr>
        </w:div>
        <w:div w:id="1842432431">
          <w:marLeft w:val="0"/>
          <w:marRight w:val="0"/>
          <w:marTop w:val="0"/>
          <w:marBottom w:val="0"/>
          <w:divBdr>
            <w:top w:val="none" w:sz="0" w:space="0" w:color="auto"/>
            <w:left w:val="none" w:sz="0" w:space="0" w:color="auto"/>
            <w:bottom w:val="none" w:sz="0" w:space="0" w:color="auto"/>
            <w:right w:val="none" w:sz="0" w:space="0" w:color="auto"/>
          </w:divBdr>
        </w:div>
        <w:div w:id="1707372274">
          <w:marLeft w:val="0"/>
          <w:marRight w:val="0"/>
          <w:marTop w:val="0"/>
          <w:marBottom w:val="0"/>
          <w:divBdr>
            <w:top w:val="none" w:sz="0" w:space="0" w:color="auto"/>
            <w:left w:val="none" w:sz="0" w:space="0" w:color="auto"/>
            <w:bottom w:val="none" w:sz="0" w:space="0" w:color="auto"/>
            <w:right w:val="none" w:sz="0" w:space="0" w:color="auto"/>
          </w:divBdr>
        </w:div>
        <w:div w:id="1859083105">
          <w:marLeft w:val="0"/>
          <w:marRight w:val="0"/>
          <w:marTop w:val="0"/>
          <w:marBottom w:val="0"/>
          <w:divBdr>
            <w:top w:val="none" w:sz="0" w:space="0" w:color="auto"/>
            <w:left w:val="none" w:sz="0" w:space="0" w:color="auto"/>
            <w:bottom w:val="none" w:sz="0" w:space="0" w:color="auto"/>
            <w:right w:val="none" w:sz="0" w:space="0" w:color="auto"/>
          </w:divBdr>
        </w:div>
        <w:div w:id="1225918972">
          <w:marLeft w:val="0"/>
          <w:marRight w:val="0"/>
          <w:marTop w:val="0"/>
          <w:marBottom w:val="0"/>
          <w:divBdr>
            <w:top w:val="none" w:sz="0" w:space="0" w:color="auto"/>
            <w:left w:val="none" w:sz="0" w:space="0" w:color="auto"/>
            <w:bottom w:val="none" w:sz="0" w:space="0" w:color="auto"/>
            <w:right w:val="none" w:sz="0" w:space="0" w:color="auto"/>
          </w:divBdr>
        </w:div>
        <w:div w:id="95755960">
          <w:marLeft w:val="0"/>
          <w:marRight w:val="0"/>
          <w:marTop w:val="0"/>
          <w:marBottom w:val="0"/>
          <w:divBdr>
            <w:top w:val="none" w:sz="0" w:space="0" w:color="auto"/>
            <w:left w:val="none" w:sz="0" w:space="0" w:color="auto"/>
            <w:bottom w:val="none" w:sz="0" w:space="0" w:color="auto"/>
            <w:right w:val="none" w:sz="0" w:space="0" w:color="auto"/>
          </w:divBdr>
        </w:div>
        <w:div w:id="383991169">
          <w:marLeft w:val="0"/>
          <w:marRight w:val="0"/>
          <w:marTop w:val="0"/>
          <w:marBottom w:val="0"/>
          <w:divBdr>
            <w:top w:val="none" w:sz="0" w:space="0" w:color="auto"/>
            <w:left w:val="none" w:sz="0" w:space="0" w:color="auto"/>
            <w:bottom w:val="none" w:sz="0" w:space="0" w:color="auto"/>
            <w:right w:val="none" w:sz="0" w:space="0" w:color="auto"/>
          </w:divBdr>
        </w:div>
        <w:div w:id="296499760">
          <w:marLeft w:val="0"/>
          <w:marRight w:val="0"/>
          <w:marTop w:val="0"/>
          <w:marBottom w:val="0"/>
          <w:divBdr>
            <w:top w:val="none" w:sz="0" w:space="0" w:color="auto"/>
            <w:left w:val="none" w:sz="0" w:space="0" w:color="auto"/>
            <w:bottom w:val="none" w:sz="0" w:space="0" w:color="auto"/>
            <w:right w:val="none" w:sz="0" w:space="0" w:color="auto"/>
          </w:divBdr>
        </w:div>
        <w:div w:id="1678000567">
          <w:marLeft w:val="0"/>
          <w:marRight w:val="0"/>
          <w:marTop w:val="0"/>
          <w:marBottom w:val="0"/>
          <w:divBdr>
            <w:top w:val="none" w:sz="0" w:space="0" w:color="auto"/>
            <w:left w:val="none" w:sz="0" w:space="0" w:color="auto"/>
            <w:bottom w:val="none" w:sz="0" w:space="0" w:color="auto"/>
            <w:right w:val="none" w:sz="0" w:space="0" w:color="auto"/>
          </w:divBdr>
        </w:div>
        <w:div w:id="616447285">
          <w:marLeft w:val="0"/>
          <w:marRight w:val="0"/>
          <w:marTop w:val="0"/>
          <w:marBottom w:val="0"/>
          <w:divBdr>
            <w:top w:val="none" w:sz="0" w:space="0" w:color="auto"/>
            <w:left w:val="none" w:sz="0" w:space="0" w:color="auto"/>
            <w:bottom w:val="none" w:sz="0" w:space="0" w:color="auto"/>
            <w:right w:val="none" w:sz="0" w:space="0" w:color="auto"/>
          </w:divBdr>
        </w:div>
      </w:divsChild>
    </w:div>
    <w:div w:id="1477336383">
      <w:bodyDiv w:val="1"/>
      <w:marLeft w:val="0"/>
      <w:marRight w:val="0"/>
      <w:marTop w:val="0"/>
      <w:marBottom w:val="0"/>
      <w:divBdr>
        <w:top w:val="none" w:sz="0" w:space="0" w:color="auto"/>
        <w:left w:val="none" w:sz="0" w:space="0" w:color="auto"/>
        <w:bottom w:val="none" w:sz="0" w:space="0" w:color="auto"/>
        <w:right w:val="none" w:sz="0" w:space="0" w:color="auto"/>
      </w:divBdr>
    </w:div>
    <w:div w:id="1852603060">
      <w:bodyDiv w:val="1"/>
      <w:marLeft w:val="0"/>
      <w:marRight w:val="0"/>
      <w:marTop w:val="0"/>
      <w:marBottom w:val="0"/>
      <w:divBdr>
        <w:top w:val="none" w:sz="0" w:space="0" w:color="auto"/>
        <w:left w:val="none" w:sz="0" w:space="0" w:color="auto"/>
        <w:bottom w:val="none" w:sz="0" w:space="0" w:color="auto"/>
        <w:right w:val="none" w:sz="0" w:space="0" w:color="auto"/>
      </w:divBdr>
      <w:divsChild>
        <w:div w:id="472715577">
          <w:marLeft w:val="0"/>
          <w:marRight w:val="0"/>
          <w:marTop w:val="0"/>
          <w:marBottom w:val="0"/>
          <w:divBdr>
            <w:top w:val="none" w:sz="0" w:space="0" w:color="auto"/>
            <w:left w:val="none" w:sz="0" w:space="0" w:color="auto"/>
            <w:bottom w:val="none" w:sz="0" w:space="0" w:color="auto"/>
            <w:right w:val="none" w:sz="0" w:space="0" w:color="auto"/>
          </w:divBdr>
        </w:div>
        <w:div w:id="886993778">
          <w:marLeft w:val="0"/>
          <w:marRight w:val="0"/>
          <w:marTop w:val="0"/>
          <w:marBottom w:val="0"/>
          <w:divBdr>
            <w:top w:val="none" w:sz="0" w:space="0" w:color="auto"/>
            <w:left w:val="none" w:sz="0" w:space="0" w:color="auto"/>
            <w:bottom w:val="none" w:sz="0" w:space="0" w:color="auto"/>
            <w:right w:val="none" w:sz="0" w:space="0" w:color="auto"/>
          </w:divBdr>
        </w:div>
        <w:div w:id="359286482">
          <w:marLeft w:val="0"/>
          <w:marRight w:val="0"/>
          <w:marTop w:val="0"/>
          <w:marBottom w:val="0"/>
          <w:divBdr>
            <w:top w:val="none" w:sz="0" w:space="0" w:color="auto"/>
            <w:left w:val="none" w:sz="0" w:space="0" w:color="auto"/>
            <w:bottom w:val="none" w:sz="0" w:space="0" w:color="auto"/>
            <w:right w:val="none" w:sz="0" w:space="0" w:color="auto"/>
          </w:divBdr>
        </w:div>
        <w:div w:id="244920123">
          <w:marLeft w:val="0"/>
          <w:marRight w:val="0"/>
          <w:marTop w:val="0"/>
          <w:marBottom w:val="0"/>
          <w:divBdr>
            <w:top w:val="none" w:sz="0" w:space="0" w:color="auto"/>
            <w:left w:val="none" w:sz="0" w:space="0" w:color="auto"/>
            <w:bottom w:val="none" w:sz="0" w:space="0" w:color="auto"/>
            <w:right w:val="none" w:sz="0" w:space="0" w:color="auto"/>
          </w:divBdr>
        </w:div>
        <w:div w:id="2054767347">
          <w:marLeft w:val="0"/>
          <w:marRight w:val="0"/>
          <w:marTop w:val="0"/>
          <w:marBottom w:val="0"/>
          <w:divBdr>
            <w:top w:val="none" w:sz="0" w:space="0" w:color="auto"/>
            <w:left w:val="none" w:sz="0" w:space="0" w:color="auto"/>
            <w:bottom w:val="none" w:sz="0" w:space="0" w:color="auto"/>
            <w:right w:val="none" w:sz="0" w:space="0" w:color="auto"/>
          </w:divBdr>
        </w:div>
        <w:div w:id="298732589">
          <w:marLeft w:val="0"/>
          <w:marRight w:val="0"/>
          <w:marTop w:val="0"/>
          <w:marBottom w:val="0"/>
          <w:divBdr>
            <w:top w:val="none" w:sz="0" w:space="0" w:color="auto"/>
            <w:left w:val="none" w:sz="0" w:space="0" w:color="auto"/>
            <w:bottom w:val="none" w:sz="0" w:space="0" w:color="auto"/>
            <w:right w:val="none" w:sz="0" w:space="0" w:color="auto"/>
          </w:divBdr>
        </w:div>
        <w:div w:id="2115861631">
          <w:marLeft w:val="0"/>
          <w:marRight w:val="0"/>
          <w:marTop w:val="0"/>
          <w:marBottom w:val="0"/>
          <w:divBdr>
            <w:top w:val="none" w:sz="0" w:space="0" w:color="auto"/>
            <w:left w:val="none" w:sz="0" w:space="0" w:color="auto"/>
            <w:bottom w:val="none" w:sz="0" w:space="0" w:color="auto"/>
            <w:right w:val="none" w:sz="0" w:space="0" w:color="auto"/>
          </w:divBdr>
        </w:div>
        <w:div w:id="1375273643">
          <w:marLeft w:val="0"/>
          <w:marRight w:val="0"/>
          <w:marTop w:val="0"/>
          <w:marBottom w:val="0"/>
          <w:divBdr>
            <w:top w:val="none" w:sz="0" w:space="0" w:color="auto"/>
            <w:left w:val="none" w:sz="0" w:space="0" w:color="auto"/>
            <w:bottom w:val="none" w:sz="0" w:space="0" w:color="auto"/>
            <w:right w:val="none" w:sz="0" w:space="0" w:color="auto"/>
          </w:divBdr>
        </w:div>
        <w:div w:id="1629893608">
          <w:marLeft w:val="0"/>
          <w:marRight w:val="0"/>
          <w:marTop w:val="0"/>
          <w:marBottom w:val="0"/>
          <w:divBdr>
            <w:top w:val="none" w:sz="0" w:space="0" w:color="auto"/>
            <w:left w:val="none" w:sz="0" w:space="0" w:color="auto"/>
            <w:bottom w:val="none" w:sz="0" w:space="0" w:color="auto"/>
            <w:right w:val="none" w:sz="0" w:space="0" w:color="auto"/>
          </w:divBdr>
        </w:div>
        <w:div w:id="1747649995">
          <w:marLeft w:val="0"/>
          <w:marRight w:val="0"/>
          <w:marTop w:val="0"/>
          <w:marBottom w:val="0"/>
          <w:divBdr>
            <w:top w:val="none" w:sz="0" w:space="0" w:color="auto"/>
            <w:left w:val="none" w:sz="0" w:space="0" w:color="auto"/>
            <w:bottom w:val="none" w:sz="0" w:space="0" w:color="auto"/>
            <w:right w:val="none" w:sz="0" w:space="0" w:color="auto"/>
          </w:divBdr>
        </w:div>
        <w:div w:id="1109395914">
          <w:marLeft w:val="0"/>
          <w:marRight w:val="0"/>
          <w:marTop w:val="0"/>
          <w:marBottom w:val="0"/>
          <w:divBdr>
            <w:top w:val="none" w:sz="0" w:space="0" w:color="auto"/>
            <w:left w:val="none" w:sz="0" w:space="0" w:color="auto"/>
            <w:bottom w:val="none" w:sz="0" w:space="0" w:color="auto"/>
            <w:right w:val="none" w:sz="0" w:space="0" w:color="auto"/>
          </w:divBdr>
        </w:div>
        <w:div w:id="361057048">
          <w:marLeft w:val="0"/>
          <w:marRight w:val="0"/>
          <w:marTop w:val="0"/>
          <w:marBottom w:val="0"/>
          <w:divBdr>
            <w:top w:val="none" w:sz="0" w:space="0" w:color="auto"/>
            <w:left w:val="none" w:sz="0" w:space="0" w:color="auto"/>
            <w:bottom w:val="none" w:sz="0" w:space="0" w:color="auto"/>
            <w:right w:val="none" w:sz="0" w:space="0" w:color="auto"/>
          </w:divBdr>
        </w:div>
        <w:div w:id="1665086645">
          <w:marLeft w:val="0"/>
          <w:marRight w:val="0"/>
          <w:marTop w:val="0"/>
          <w:marBottom w:val="0"/>
          <w:divBdr>
            <w:top w:val="none" w:sz="0" w:space="0" w:color="auto"/>
            <w:left w:val="none" w:sz="0" w:space="0" w:color="auto"/>
            <w:bottom w:val="none" w:sz="0" w:space="0" w:color="auto"/>
            <w:right w:val="none" w:sz="0" w:space="0" w:color="auto"/>
          </w:divBdr>
        </w:div>
        <w:div w:id="503325270">
          <w:marLeft w:val="0"/>
          <w:marRight w:val="0"/>
          <w:marTop w:val="0"/>
          <w:marBottom w:val="0"/>
          <w:divBdr>
            <w:top w:val="none" w:sz="0" w:space="0" w:color="auto"/>
            <w:left w:val="none" w:sz="0" w:space="0" w:color="auto"/>
            <w:bottom w:val="none" w:sz="0" w:space="0" w:color="auto"/>
            <w:right w:val="none" w:sz="0" w:space="0" w:color="auto"/>
          </w:divBdr>
        </w:div>
        <w:div w:id="1430007883">
          <w:marLeft w:val="0"/>
          <w:marRight w:val="0"/>
          <w:marTop w:val="0"/>
          <w:marBottom w:val="0"/>
          <w:divBdr>
            <w:top w:val="none" w:sz="0" w:space="0" w:color="auto"/>
            <w:left w:val="none" w:sz="0" w:space="0" w:color="auto"/>
            <w:bottom w:val="none" w:sz="0" w:space="0" w:color="auto"/>
            <w:right w:val="none" w:sz="0" w:space="0" w:color="auto"/>
          </w:divBdr>
        </w:div>
        <w:div w:id="966858225">
          <w:marLeft w:val="0"/>
          <w:marRight w:val="0"/>
          <w:marTop w:val="0"/>
          <w:marBottom w:val="0"/>
          <w:divBdr>
            <w:top w:val="none" w:sz="0" w:space="0" w:color="auto"/>
            <w:left w:val="none" w:sz="0" w:space="0" w:color="auto"/>
            <w:bottom w:val="none" w:sz="0" w:space="0" w:color="auto"/>
            <w:right w:val="none" w:sz="0" w:space="0" w:color="auto"/>
          </w:divBdr>
        </w:div>
        <w:div w:id="1369718712">
          <w:marLeft w:val="0"/>
          <w:marRight w:val="0"/>
          <w:marTop w:val="0"/>
          <w:marBottom w:val="0"/>
          <w:divBdr>
            <w:top w:val="none" w:sz="0" w:space="0" w:color="auto"/>
            <w:left w:val="none" w:sz="0" w:space="0" w:color="auto"/>
            <w:bottom w:val="none" w:sz="0" w:space="0" w:color="auto"/>
            <w:right w:val="none" w:sz="0" w:space="0" w:color="auto"/>
          </w:divBdr>
        </w:div>
        <w:div w:id="326910780">
          <w:marLeft w:val="0"/>
          <w:marRight w:val="0"/>
          <w:marTop w:val="0"/>
          <w:marBottom w:val="0"/>
          <w:divBdr>
            <w:top w:val="none" w:sz="0" w:space="0" w:color="auto"/>
            <w:left w:val="none" w:sz="0" w:space="0" w:color="auto"/>
            <w:bottom w:val="none" w:sz="0" w:space="0" w:color="auto"/>
            <w:right w:val="none" w:sz="0" w:space="0" w:color="auto"/>
          </w:divBdr>
        </w:div>
        <w:div w:id="1581867464">
          <w:marLeft w:val="0"/>
          <w:marRight w:val="0"/>
          <w:marTop w:val="0"/>
          <w:marBottom w:val="0"/>
          <w:divBdr>
            <w:top w:val="none" w:sz="0" w:space="0" w:color="auto"/>
            <w:left w:val="none" w:sz="0" w:space="0" w:color="auto"/>
            <w:bottom w:val="none" w:sz="0" w:space="0" w:color="auto"/>
            <w:right w:val="none" w:sz="0" w:space="0" w:color="auto"/>
          </w:divBdr>
        </w:div>
        <w:div w:id="1687825797">
          <w:marLeft w:val="0"/>
          <w:marRight w:val="0"/>
          <w:marTop w:val="0"/>
          <w:marBottom w:val="0"/>
          <w:divBdr>
            <w:top w:val="none" w:sz="0" w:space="0" w:color="auto"/>
            <w:left w:val="none" w:sz="0" w:space="0" w:color="auto"/>
            <w:bottom w:val="none" w:sz="0" w:space="0" w:color="auto"/>
            <w:right w:val="none" w:sz="0" w:space="0" w:color="auto"/>
          </w:divBdr>
        </w:div>
        <w:div w:id="1621717039">
          <w:marLeft w:val="0"/>
          <w:marRight w:val="0"/>
          <w:marTop w:val="0"/>
          <w:marBottom w:val="0"/>
          <w:divBdr>
            <w:top w:val="none" w:sz="0" w:space="0" w:color="auto"/>
            <w:left w:val="none" w:sz="0" w:space="0" w:color="auto"/>
            <w:bottom w:val="none" w:sz="0" w:space="0" w:color="auto"/>
            <w:right w:val="none" w:sz="0" w:space="0" w:color="auto"/>
          </w:divBdr>
        </w:div>
        <w:div w:id="1994992211">
          <w:marLeft w:val="0"/>
          <w:marRight w:val="0"/>
          <w:marTop w:val="0"/>
          <w:marBottom w:val="0"/>
          <w:divBdr>
            <w:top w:val="none" w:sz="0" w:space="0" w:color="auto"/>
            <w:left w:val="none" w:sz="0" w:space="0" w:color="auto"/>
            <w:bottom w:val="none" w:sz="0" w:space="0" w:color="auto"/>
            <w:right w:val="none" w:sz="0" w:space="0" w:color="auto"/>
          </w:divBdr>
        </w:div>
        <w:div w:id="913509980">
          <w:marLeft w:val="0"/>
          <w:marRight w:val="0"/>
          <w:marTop w:val="0"/>
          <w:marBottom w:val="0"/>
          <w:divBdr>
            <w:top w:val="none" w:sz="0" w:space="0" w:color="auto"/>
            <w:left w:val="none" w:sz="0" w:space="0" w:color="auto"/>
            <w:bottom w:val="none" w:sz="0" w:space="0" w:color="auto"/>
            <w:right w:val="none" w:sz="0" w:space="0" w:color="auto"/>
          </w:divBdr>
        </w:div>
        <w:div w:id="1821069890">
          <w:marLeft w:val="0"/>
          <w:marRight w:val="0"/>
          <w:marTop w:val="0"/>
          <w:marBottom w:val="0"/>
          <w:divBdr>
            <w:top w:val="none" w:sz="0" w:space="0" w:color="auto"/>
            <w:left w:val="none" w:sz="0" w:space="0" w:color="auto"/>
            <w:bottom w:val="none" w:sz="0" w:space="0" w:color="auto"/>
            <w:right w:val="none" w:sz="0" w:space="0" w:color="auto"/>
          </w:divBdr>
        </w:div>
        <w:div w:id="107748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146A-EEA9-477B-BCAC-8833448B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1933</Words>
  <Characters>11603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Małgorzata Domaradzka</cp:lastModifiedBy>
  <cp:revision>9</cp:revision>
  <cp:lastPrinted>2015-12-18T11:43:00Z</cp:lastPrinted>
  <dcterms:created xsi:type="dcterms:W3CDTF">2015-12-10T11:11:00Z</dcterms:created>
  <dcterms:modified xsi:type="dcterms:W3CDTF">2015-12-18T11:46:00Z</dcterms:modified>
</cp:coreProperties>
</file>